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DE" w:rsidRDefault="008B2FDE" w:rsidP="00BA1F95">
      <w:pPr>
        <w:jc w:val="center"/>
        <w:rPr>
          <w:b/>
          <w:sz w:val="36"/>
          <w:szCs w:val="36"/>
        </w:rPr>
      </w:pPr>
    </w:p>
    <w:p w:rsidR="008B2FDE" w:rsidRDefault="008B2FDE" w:rsidP="00BA1F95">
      <w:pPr>
        <w:jc w:val="center"/>
        <w:rPr>
          <w:b/>
          <w:sz w:val="36"/>
          <w:szCs w:val="36"/>
        </w:rPr>
      </w:pPr>
    </w:p>
    <w:p w:rsidR="002F5ED3" w:rsidRDefault="00BA1F95" w:rsidP="008B2FDE">
      <w:pPr>
        <w:spacing w:line="240" w:lineRule="auto"/>
        <w:jc w:val="center"/>
        <w:rPr>
          <w:b/>
          <w:sz w:val="48"/>
          <w:szCs w:val="48"/>
        </w:rPr>
      </w:pPr>
      <w:r w:rsidRPr="008B2FDE">
        <w:rPr>
          <w:b/>
          <w:sz w:val="48"/>
          <w:szCs w:val="48"/>
        </w:rPr>
        <w:t xml:space="preserve">Hiring Wreckers: </w:t>
      </w:r>
    </w:p>
    <w:p w:rsidR="00BA1F95" w:rsidRDefault="002F5ED3" w:rsidP="008B2FDE">
      <w:pPr>
        <w:spacing w:line="240" w:lineRule="auto"/>
        <w:jc w:val="center"/>
        <w:rPr>
          <w:b/>
          <w:sz w:val="48"/>
          <w:szCs w:val="48"/>
        </w:rPr>
      </w:pPr>
      <w:r>
        <w:rPr>
          <w:b/>
          <w:sz w:val="48"/>
          <w:szCs w:val="48"/>
        </w:rPr>
        <w:t>T</w:t>
      </w:r>
      <w:r w:rsidR="00BA1F95" w:rsidRPr="008B2FDE">
        <w:rPr>
          <w:b/>
          <w:sz w:val="48"/>
          <w:szCs w:val="48"/>
        </w:rPr>
        <w:t>he  Integrity Collision Case</w:t>
      </w:r>
    </w:p>
    <w:p w:rsidR="008B2FDE" w:rsidRDefault="008B2FDE" w:rsidP="008B2FDE">
      <w:pPr>
        <w:spacing w:line="240" w:lineRule="auto"/>
        <w:jc w:val="center"/>
        <w:rPr>
          <w:b/>
          <w:sz w:val="48"/>
          <w:szCs w:val="48"/>
        </w:rPr>
      </w:pPr>
    </w:p>
    <w:p w:rsidR="008B2FDE" w:rsidRDefault="008B2FDE" w:rsidP="008B2FDE">
      <w:pPr>
        <w:spacing w:line="240" w:lineRule="auto"/>
        <w:jc w:val="center"/>
        <w:rPr>
          <w:b/>
          <w:sz w:val="48"/>
          <w:szCs w:val="48"/>
        </w:rPr>
      </w:pPr>
    </w:p>
    <w:p w:rsidR="008B2FDE" w:rsidRDefault="008B2FDE" w:rsidP="008B2FDE">
      <w:pPr>
        <w:spacing w:line="240" w:lineRule="auto"/>
        <w:jc w:val="center"/>
        <w:rPr>
          <w:b/>
          <w:sz w:val="48"/>
          <w:szCs w:val="48"/>
        </w:rPr>
      </w:pPr>
    </w:p>
    <w:p w:rsidR="008B2FDE" w:rsidRDefault="008B2FDE" w:rsidP="008B2FDE">
      <w:pPr>
        <w:spacing w:line="240" w:lineRule="auto"/>
        <w:jc w:val="center"/>
        <w:rPr>
          <w:b/>
          <w:sz w:val="48"/>
          <w:szCs w:val="48"/>
        </w:rPr>
      </w:pPr>
      <w:r>
        <w:rPr>
          <w:b/>
          <w:sz w:val="48"/>
          <w:szCs w:val="48"/>
        </w:rPr>
        <w:t>Olson &amp; Olson, LLP</w:t>
      </w:r>
    </w:p>
    <w:p w:rsidR="008B2FDE" w:rsidRDefault="008B2FDE" w:rsidP="008B2FDE">
      <w:pPr>
        <w:spacing w:line="240" w:lineRule="auto"/>
        <w:jc w:val="center"/>
        <w:rPr>
          <w:b/>
          <w:sz w:val="48"/>
          <w:szCs w:val="48"/>
        </w:rPr>
      </w:pPr>
      <w:r>
        <w:rPr>
          <w:b/>
          <w:sz w:val="48"/>
          <w:szCs w:val="48"/>
        </w:rPr>
        <w:t>Thirteenth Annual Local Government Seminar</w:t>
      </w:r>
    </w:p>
    <w:p w:rsidR="008B2FDE" w:rsidRDefault="008B2FDE" w:rsidP="008B2FDE">
      <w:pPr>
        <w:spacing w:line="240" w:lineRule="auto"/>
        <w:jc w:val="center"/>
        <w:rPr>
          <w:b/>
          <w:sz w:val="48"/>
          <w:szCs w:val="48"/>
        </w:rPr>
      </w:pPr>
    </w:p>
    <w:p w:rsidR="008B2FDE" w:rsidRDefault="008B2FDE" w:rsidP="008B2FDE">
      <w:pPr>
        <w:spacing w:line="240" w:lineRule="auto"/>
        <w:jc w:val="center"/>
        <w:rPr>
          <w:b/>
          <w:sz w:val="48"/>
          <w:szCs w:val="48"/>
        </w:rPr>
      </w:pPr>
      <w:r>
        <w:rPr>
          <w:b/>
          <w:sz w:val="48"/>
          <w:szCs w:val="48"/>
        </w:rPr>
        <w:t>January 19, 2017</w:t>
      </w:r>
    </w:p>
    <w:p w:rsidR="008B2FDE" w:rsidRDefault="008B2FDE" w:rsidP="008B2FDE">
      <w:pPr>
        <w:spacing w:line="240" w:lineRule="auto"/>
        <w:jc w:val="center"/>
        <w:rPr>
          <w:b/>
          <w:sz w:val="48"/>
          <w:szCs w:val="48"/>
        </w:rPr>
      </w:pPr>
    </w:p>
    <w:p w:rsidR="008B2FDE" w:rsidRDefault="008B2FDE" w:rsidP="008B2FDE">
      <w:pPr>
        <w:spacing w:line="240" w:lineRule="auto"/>
        <w:jc w:val="center"/>
        <w:rPr>
          <w:b/>
          <w:sz w:val="48"/>
          <w:szCs w:val="48"/>
        </w:rPr>
      </w:pPr>
    </w:p>
    <w:p w:rsidR="008B2FDE" w:rsidRDefault="008B2FDE" w:rsidP="008B2FDE">
      <w:pPr>
        <w:spacing w:line="240" w:lineRule="auto"/>
        <w:jc w:val="center"/>
        <w:rPr>
          <w:b/>
          <w:sz w:val="48"/>
          <w:szCs w:val="48"/>
        </w:rPr>
      </w:pPr>
    </w:p>
    <w:p w:rsidR="008B2FDE" w:rsidRDefault="008B2FDE" w:rsidP="008B2FDE">
      <w:pPr>
        <w:spacing w:line="240" w:lineRule="auto"/>
        <w:jc w:val="center"/>
        <w:rPr>
          <w:b/>
          <w:sz w:val="48"/>
          <w:szCs w:val="48"/>
        </w:rPr>
      </w:pPr>
    </w:p>
    <w:p w:rsidR="008B2FDE" w:rsidRDefault="008B2FDE" w:rsidP="008B2FDE">
      <w:pPr>
        <w:spacing w:line="240" w:lineRule="auto"/>
        <w:jc w:val="center"/>
        <w:rPr>
          <w:b/>
          <w:sz w:val="48"/>
          <w:szCs w:val="48"/>
        </w:rPr>
      </w:pPr>
    </w:p>
    <w:p w:rsidR="008B2FDE" w:rsidRDefault="008B2FDE" w:rsidP="008B2FDE">
      <w:pPr>
        <w:spacing w:line="240" w:lineRule="auto"/>
        <w:jc w:val="center"/>
        <w:rPr>
          <w:b/>
          <w:sz w:val="48"/>
          <w:szCs w:val="48"/>
        </w:rPr>
      </w:pPr>
    </w:p>
    <w:p w:rsidR="008B2FDE" w:rsidRPr="008B2FDE" w:rsidRDefault="008B2FDE" w:rsidP="008B2FDE">
      <w:pPr>
        <w:spacing w:line="240" w:lineRule="auto"/>
        <w:jc w:val="center"/>
        <w:rPr>
          <w:b/>
          <w:sz w:val="36"/>
          <w:szCs w:val="36"/>
        </w:rPr>
      </w:pPr>
      <w:r w:rsidRPr="008B2FDE">
        <w:rPr>
          <w:b/>
          <w:sz w:val="36"/>
          <w:szCs w:val="36"/>
        </w:rPr>
        <w:t>Eric C. Farrar</w:t>
      </w:r>
    </w:p>
    <w:p w:rsidR="008B2FDE" w:rsidRPr="008B2FDE" w:rsidRDefault="008B2FDE" w:rsidP="008B2FDE">
      <w:pPr>
        <w:spacing w:line="240" w:lineRule="auto"/>
        <w:jc w:val="center"/>
        <w:rPr>
          <w:b/>
          <w:sz w:val="36"/>
          <w:szCs w:val="36"/>
        </w:rPr>
      </w:pPr>
      <w:r w:rsidRPr="008B2FDE">
        <w:rPr>
          <w:b/>
          <w:sz w:val="36"/>
          <w:szCs w:val="36"/>
        </w:rPr>
        <w:t>efarrar@olsonllp.com</w:t>
      </w:r>
    </w:p>
    <w:p w:rsidR="008B2FDE" w:rsidRPr="008B2FDE" w:rsidRDefault="008B2FDE" w:rsidP="008B2FDE">
      <w:pPr>
        <w:spacing w:line="240" w:lineRule="auto"/>
        <w:jc w:val="center"/>
        <w:rPr>
          <w:b/>
          <w:sz w:val="48"/>
          <w:szCs w:val="48"/>
        </w:rPr>
      </w:pPr>
    </w:p>
    <w:p w:rsidR="008B2FDE" w:rsidRDefault="008B2FDE">
      <w:pPr>
        <w:spacing w:after="200" w:line="276" w:lineRule="auto"/>
        <w:jc w:val="left"/>
        <w:rPr>
          <w:b/>
          <w:sz w:val="36"/>
          <w:szCs w:val="36"/>
        </w:rPr>
      </w:pPr>
      <w:r>
        <w:rPr>
          <w:b/>
          <w:sz w:val="36"/>
          <w:szCs w:val="36"/>
        </w:rPr>
        <w:br w:type="page"/>
      </w:r>
    </w:p>
    <w:p w:rsidR="008B2FDE" w:rsidRDefault="008B2FDE" w:rsidP="008B2FDE">
      <w:pPr>
        <w:spacing w:line="240" w:lineRule="auto"/>
        <w:jc w:val="center"/>
        <w:rPr>
          <w:b/>
        </w:rPr>
      </w:pPr>
      <w:r w:rsidRPr="008B2FDE">
        <w:rPr>
          <w:b/>
        </w:rPr>
        <w:t>“Class of One” Equal Protection Lawsuits and</w:t>
      </w:r>
    </w:p>
    <w:p w:rsidR="008B2FDE" w:rsidRDefault="008B2FDE" w:rsidP="008B2FDE">
      <w:pPr>
        <w:spacing w:line="240" w:lineRule="auto"/>
        <w:jc w:val="center"/>
        <w:rPr>
          <w:b/>
        </w:rPr>
      </w:pPr>
      <w:r w:rsidRPr="008B2FDE">
        <w:rPr>
          <w:b/>
        </w:rPr>
        <w:t>Governmental Discretion</w:t>
      </w:r>
    </w:p>
    <w:p w:rsidR="008B2FDE" w:rsidRPr="008B2FDE" w:rsidRDefault="008B2FDE" w:rsidP="008B2FDE">
      <w:pPr>
        <w:spacing w:line="240" w:lineRule="auto"/>
        <w:jc w:val="center"/>
        <w:rPr>
          <w:b/>
        </w:rPr>
      </w:pPr>
    </w:p>
    <w:p w:rsidR="00BA1F95" w:rsidRDefault="00BA1F95" w:rsidP="00413040">
      <w:r>
        <w:rPr>
          <w:b/>
        </w:rPr>
        <w:t>I.</w:t>
      </w:r>
      <w:r>
        <w:rPr>
          <w:b/>
        </w:rPr>
        <w:tab/>
        <w:t>Introduction</w:t>
      </w:r>
      <w:r w:rsidR="007A253D">
        <w:rPr>
          <w:b/>
        </w:rPr>
        <w:t>.</w:t>
      </w:r>
    </w:p>
    <w:p w:rsidR="00C972A0" w:rsidRDefault="00C972A0" w:rsidP="00413040">
      <w:r>
        <w:tab/>
        <w:t>The Fourteenth Amendment provides, in part:</w:t>
      </w:r>
    </w:p>
    <w:p w:rsidR="00413040" w:rsidRDefault="00413040" w:rsidP="007A253D">
      <w:pPr>
        <w:pStyle w:val="BlockQuote"/>
      </w:pPr>
      <w:r w:rsidRPr="000879EA">
        <w:t xml:space="preserve">No State shall </w:t>
      </w:r>
      <w:r w:rsidR="00C972A0">
        <w:t xml:space="preserve">… </w:t>
      </w:r>
      <w:r w:rsidRPr="000879EA">
        <w:t>deny to any person within its jurisdiction the equal protection of the laws.</w:t>
      </w:r>
      <w:r w:rsidR="00C972A0">
        <w:rPr>
          <w:rStyle w:val="EndnoteReference"/>
        </w:rPr>
        <w:endnoteReference w:id="1"/>
      </w:r>
    </w:p>
    <w:p w:rsidR="007A253D" w:rsidRDefault="007A253D" w:rsidP="007A253D">
      <w:pPr>
        <w:pStyle w:val="BlockQuote"/>
      </w:pPr>
    </w:p>
    <w:p w:rsidR="00413040" w:rsidRDefault="00413040" w:rsidP="00413040">
      <w:r>
        <w:tab/>
        <w:t>At first glance, the Equal Protection Clause of the Fourteenth Amendment</w:t>
      </w:r>
      <w:r w:rsidR="00D9378C">
        <w:rPr>
          <w:rStyle w:val="EndnoteReference"/>
        </w:rPr>
        <w:endnoteReference w:id="2"/>
      </w:r>
      <w:r>
        <w:t xml:space="preserve"> seem</w:t>
      </w:r>
      <w:r w:rsidR="00C972A0">
        <w:t>s</w:t>
      </w:r>
      <w:r>
        <w:t xml:space="preserve"> </w:t>
      </w:r>
      <w:r w:rsidR="00C972A0">
        <w:t>straightforward</w:t>
      </w:r>
      <w:r>
        <w:t>.  It is generally understood as “</w:t>
      </w:r>
      <w:r w:rsidRPr="002E0386">
        <w:t>essentially a direction that all persons similarly situated should be treated alike</w:t>
      </w:r>
      <w:r w:rsidR="002159AC">
        <w:t>” by the s</w:t>
      </w:r>
      <w:r>
        <w:t>tate.</w:t>
      </w:r>
      <w:r>
        <w:rPr>
          <w:rStyle w:val="EndnoteReference"/>
        </w:rPr>
        <w:endnoteReference w:id="3"/>
      </w:r>
      <w:r>
        <w:t xml:space="preserve">  Simple, right?  But state and local governments treat people differently all the time.  How far, then, does the Equal Protection Clause go in ensuring all persons are treated equally under the law? </w:t>
      </w:r>
    </w:p>
    <w:p w:rsidR="00413040" w:rsidRDefault="00413040" w:rsidP="00413040">
      <w:r>
        <w:tab/>
        <w:t>This paper will attempt to provide some guidance on the scope of Equal Protection, although it is not intended as</w:t>
      </w:r>
      <w:r w:rsidR="00C972A0">
        <w:t xml:space="preserve"> a</w:t>
      </w:r>
      <w:r>
        <w:t xml:space="preserve"> comprehensive legal explanation of a complex subject.  To begin, the paper will address some basic concepts of Equal Protection and its reach. (Section I</w:t>
      </w:r>
      <w:r w:rsidR="00BA1F95">
        <w:t>I</w:t>
      </w:r>
      <w:r>
        <w:t>).   Next, it will address a particular type of Equal Protection claim—known as a “class of one” claim.  (Section I</w:t>
      </w:r>
      <w:r w:rsidR="002159AC">
        <w:t>I</w:t>
      </w:r>
      <w:r>
        <w:t xml:space="preserve">I).  Finally, it will briefly discuss </w:t>
      </w:r>
      <w:r w:rsidR="004B1F87">
        <w:t>a</w:t>
      </w:r>
      <w:r>
        <w:t xml:space="preserve"> recent Equal Protection claim brought against </w:t>
      </w:r>
      <w:r w:rsidR="004B1F87">
        <w:t xml:space="preserve">a </w:t>
      </w:r>
      <w:r>
        <w:t xml:space="preserve">local </w:t>
      </w:r>
      <w:r w:rsidR="004B1F87">
        <w:t>city</w:t>
      </w:r>
      <w:r>
        <w:t xml:space="preserve"> in federal court and</w:t>
      </w:r>
      <w:r w:rsidR="004B1F87">
        <w:t xml:space="preserve"> </w:t>
      </w:r>
      <w:r>
        <w:t>attempt to provide some practical advice.  (Section I</w:t>
      </w:r>
      <w:r w:rsidR="002159AC">
        <w:t>V</w:t>
      </w:r>
      <w:r>
        <w:t>)</w:t>
      </w:r>
    </w:p>
    <w:p w:rsidR="00413040" w:rsidRPr="00BA1F95" w:rsidRDefault="00BA1F95" w:rsidP="00413040">
      <w:pPr>
        <w:rPr>
          <w:b/>
        </w:rPr>
      </w:pPr>
      <w:r>
        <w:rPr>
          <w:b/>
        </w:rPr>
        <w:t>II.</w:t>
      </w:r>
      <w:r>
        <w:rPr>
          <w:b/>
        </w:rPr>
        <w:tab/>
      </w:r>
      <w:r w:rsidR="002159AC">
        <w:rPr>
          <w:b/>
        </w:rPr>
        <w:t>Equal Protection basi</w:t>
      </w:r>
      <w:r w:rsidR="001905B0">
        <w:rPr>
          <w:b/>
        </w:rPr>
        <w:t>c</w:t>
      </w:r>
      <w:r w:rsidR="002159AC">
        <w:rPr>
          <w:b/>
        </w:rPr>
        <w:t>s.</w:t>
      </w:r>
    </w:p>
    <w:p w:rsidR="00413040" w:rsidRDefault="00413040" w:rsidP="00413040">
      <w:r>
        <w:tab/>
        <w:t>As stated above, government regularly treats people differently from one another.  The scope of Equal Protection depends, in part, upon whom is treated differently.  When the government is treating persons differently on the basis of “</w:t>
      </w:r>
      <w:r w:rsidRPr="00A41882">
        <w:t>race, alienage, or national origin</w:t>
      </w:r>
      <w:r>
        <w:t>,”</w:t>
      </w:r>
      <w:r>
        <w:rPr>
          <w:rStyle w:val="EndnoteReference"/>
        </w:rPr>
        <w:endnoteReference w:id="4"/>
      </w:r>
      <w:r>
        <w:t xml:space="preserve"> the courts will review under a standard called “strict scrutiny.”</w:t>
      </w:r>
      <w:r>
        <w:rPr>
          <w:rStyle w:val="EndnoteReference"/>
        </w:rPr>
        <w:endnoteReference w:id="5"/>
      </w:r>
      <w:r>
        <w:t xml:space="preserve">  Under this test, the state</w:t>
      </w:r>
      <w:r w:rsidR="001D5BE4">
        <w:t>’</w:t>
      </w:r>
      <w:r>
        <w:t>s classification is constitutional only if it is “</w:t>
      </w:r>
      <w:r w:rsidRPr="00AE2ED6">
        <w:t>narrowly tailored to further compelling</w:t>
      </w:r>
      <w:r>
        <w:t xml:space="preserve"> </w:t>
      </w:r>
      <w:r w:rsidRPr="00AE2ED6">
        <w:t>governmental interests.</w:t>
      </w:r>
      <w:r>
        <w:t>”</w:t>
      </w:r>
      <w:r>
        <w:rPr>
          <w:rStyle w:val="EndnoteReference"/>
        </w:rPr>
        <w:endnoteReference w:id="6"/>
      </w:r>
      <w:r>
        <w:t xml:space="preserve">  Gender has been subjected to “intermediate scrutiny,” which requires that the classification be substantially related to achieving important governmental objectives.</w:t>
      </w:r>
      <w:r>
        <w:rPr>
          <w:rStyle w:val="EndnoteReference"/>
        </w:rPr>
        <w:endnoteReference w:id="7"/>
      </w:r>
      <w:r>
        <w:t xml:space="preserve">  The lowest level of Equal Protection review by the courts is when none of the classes above are involved.  In such a case, the courts are deferential to state action; there need only be a “rational basis” for the classification.</w:t>
      </w:r>
      <w:r w:rsidR="00B33034">
        <w:rPr>
          <w:rStyle w:val="EndnoteReference"/>
        </w:rPr>
        <w:endnoteReference w:id="8"/>
      </w:r>
      <w:r>
        <w:t xml:space="preserve">  </w:t>
      </w:r>
    </w:p>
    <w:p w:rsidR="00413040" w:rsidRPr="002A18A5" w:rsidRDefault="00413040" w:rsidP="00413040">
      <w:r>
        <w:tab/>
        <w:t>In addition, a lawsuit may be subject to different standards</w:t>
      </w:r>
      <w:r w:rsidR="00355C78">
        <w:t xml:space="preserve">.  In suits by an employees against an employer, the employee may invoke Title VII of the Civil Right Act rather than the Equal Protection Clause itself.  </w:t>
      </w:r>
      <w:r>
        <w:t>Title VII of the Civil Rights Act prohibits employers from taking adverse employment actions based upon the “</w:t>
      </w:r>
      <w:r w:rsidRPr="002A18A5">
        <w:t>race, color, religion, sex, or national origin</w:t>
      </w:r>
      <w:r>
        <w:t>” of the employee</w:t>
      </w:r>
      <w:r w:rsidR="00355C78">
        <w:t>,</w:t>
      </w:r>
      <w:r>
        <w:rPr>
          <w:rStyle w:val="EndnoteReference"/>
        </w:rPr>
        <w:endnoteReference w:id="9"/>
      </w:r>
      <w:r w:rsidR="00355C78">
        <w:t xml:space="preserve"> without a different level of scrutiny for gender-based claims.</w:t>
      </w:r>
      <w:r>
        <w:t xml:space="preserve">  In the absence of direct evidence of discrimination, </w:t>
      </w:r>
      <w:r w:rsidRPr="007B1C0F">
        <w:t>employee</w:t>
      </w:r>
      <w:r w:rsidR="001905B0">
        <w:t>s</w:t>
      </w:r>
      <w:r>
        <w:t xml:space="preserve"> must generally show that </w:t>
      </w:r>
      <w:r w:rsidRPr="007B1C0F">
        <w:t>the</w:t>
      </w:r>
      <w:r w:rsidR="001905B0">
        <w:t>y:</w:t>
      </w:r>
    </w:p>
    <w:p w:rsidR="00413040" w:rsidRDefault="00413040" w:rsidP="00413040">
      <w:pPr>
        <w:pStyle w:val="BlockQuote"/>
      </w:pPr>
      <w:r w:rsidRPr="00D426E9">
        <w:t xml:space="preserve">(1) </w:t>
      </w:r>
      <w:r w:rsidR="001905B0">
        <w:t>are</w:t>
      </w:r>
      <w:r w:rsidRPr="00D426E9">
        <w:t xml:space="preserve"> a member of a protected class</w:t>
      </w:r>
      <w:r>
        <w:t>;</w:t>
      </w:r>
    </w:p>
    <w:p w:rsidR="00413040" w:rsidRDefault="00413040" w:rsidP="00413040">
      <w:pPr>
        <w:pStyle w:val="BlockQuote"/>
      </w:pPr>
    </w:p>
    <w:p w:rsidR="00413040" w:rsidRDefault="00413040" w:rsidP="00413040">
      <w:pPr>
        <w:pStyle w:val="BlockQuote"/>
      </w:pPr>
      <w:r>
        <w:t>(2)</w:t>
      </w:r>
      <w:r w:rsidRPr="00D426E9">
        <w:t xml:space="preserve"> </w:t>
      </w:r>
      <w:r w:rsidR="001905B0">
        <w:t>were</w:t>
      </w:r>
      <w:r w:rsidRPr="00D426E9">
        <w:t xml:space="preserve"> the subject of an adverse employment action</w:t>
      </w:r>
      <w:r>
        <w:t>;</w:t>
      </w:r>
    </w:p>
    <w:p w:rsidR="00413040" w:rsidRDefault="00413040" w:rsidP="00413040">
      <w:pPr>
        <w:pStyle w:val="BlockQuote"/>
      </w:pPr>
    </w:p>
    <w:p w:rsidR="00413040" w:rsidRDefault="00413040" w:rsidP="00413040">
      <w:pPr>
        <w:pStyle w:val="BlockQuote"/>
      </w:pPr>
      <w:r>
        <w:t xml:space="preserve">(3) </w:t>
      </w:r>
      <w:r w:rsidR="001905B0">
        <w:t>were</w:t>
      </w:r>
      <w:r w:rsidRPr="00D426E9">
        <w:t xml:space="preserve"> treated less favorably because of membership in that protected class than were other similarly situated employees who were not members of the protected class, under nearly identical circumstances.</w:t>
      </w:r>
      <w:r>
        <w:rPr>
          <w:rStyle w:val="EndnoteReference"/>
        </w:rPr>
        <w:endnoteReference w:id="10"/>
      </w:r>
    </w:p>
    <w:p w:rsidR="00C8765A" w:rsidRPr="00D426E9" w:rsidRDefault="00C8765A" w:rsidP="00413040">
      <w:pPr>
        <w:pStyle w:val="BlockQuote"/>
      </w:pPr>
    </w:p>
    <w:p w:rsidR="002159AC" w:rsidRDefault="002159AC">
      <w:pPr>
        <w:rPr>
          <w:b/>
        </w:rPr>
      </w:pPr>
      <w:r>
        <w:rPr>
          <w:b/>
        </w:rPr>
        <w:t>III.</w:t>
      </w:r>
      <w:r>
        <w:rPr>
          <w:b/>
        </w:rPr>
        <w:tab/>
        <w:t>“Class of one” claims.</w:t>
      </w:r>
    </w:p>
    <w:p w:rsidR="00D9378C" w:rsidRDefault="00D9378C">
      <w:r>
        <w:tab/>
      </w:r>
      <w:r w:rsidR="00E90483">
        <w:t>The Supreme Court has stated, “[T]</w:t>
      </w:r>
      <w:r w:rsidR="00E90483" w:rsidRPr="00E90483">
        <w:t xml:space="preserve">he Fifth and Fourteenth Amendments to the Constitution protect </w:t>
      </w:r>
      <w:r w:rsidR="00E90483" w:rsidRPr="00E90483">
        <w:rPr>
          <w:i/>
          <w:iCs/>
        </w:rPr>
        <w:t>persons,</w:t>
      </w:r>
      <w:r w:rsidR="00E90483" w:rsidRPr="00E90483">
        <w:t xml:space="preserve"> not </w:t>
      </w:r>
      <w:r w:rsidR="00E90483">
        <w:rPr>
          <w:i/>
          <w:iCs/>
        </w:rPr>
        <w:t>groups</w:t>
      </w:r>
      <w:r w:rsidR="00E90483">
        <w:rPr>
          <w:iCs/>
        </w:rPr>
        <w:t>.”</w:t>
      </w:r>
      <w:r w:rsidR="00E90483">
        <w:rPr>
          <w:rStyle w:val="EndnoteReference"/>
        </w:rPr>
        <w:endnoteReference w:id="11"/>
      </w:r>
      <w:r w:rsidR="00E90483">
        <w:rPr>
          <w:iCs/>
        </w:rPr>
        <w:t xml:space="preserve">  But t</w:t>
      </w:r>
      <w:r>
        <w:t xml:space="preserve">he above discussion shows that Equal Protection claims </w:t>
      </w:r>
      <w:r w:rsidR="00E90483">
        <w:t xml:space="preserve">often </w:t>
      </w:r>
      <w:r>
        <w:t>relate to groups or classifications of persons.</w:t>
      </w:r>
      <w:r w:rsidR="00E90483">
        <w:t xml:space="preserve">  </w:t>
      </w:r>
      <w:r w:rsidR="00E90483">
        <w:rPr>
          <w:iCs/>
        </w:rPr>
        <w:t>When a person asserts that he or she, individually, was treated differently than other similarly situated persons</w:t>
      </w:r>
      <w:r w:rsidR="00947370">
        <w:rPr>
          <w:iCs/>
        </w:rPr>
        <w:t>, there may be the opportunity to assert what has become known as a “class of one” Equal Protection claim.</w:t>
      </w:r>
    </w:p>
    <w:p w:rsidR="006154FC" w:rsidRDefault="006307D5" w:rsidP="006307D5">
      <w:r>
        <w:tab/>
        <w:t xml:space="preserve">In </w:t>
      </w:r>
      <w:r w:rsidRPr="006307D5">
        <w:rPr>
          <w:i/>
          <w:iCs/>
        </w:rPr>
        <w:t>Vill</w:t>
      </w:r>
      <w:r>
        <w:rPr>
          <w:i/>
          <w:iCs/>
        </w:rPr>
        <w:t>age</w:t>
      </w:r>
      <w:r w:rsidRPr="006307D5">
        <w:rPr>
          <w:i/>
          <w:iCs/>
        </w:rPr>
        <w:t xml:space="preserve"> of Willowbrook v. Olech</w:t>
      </w:r>
      <w:r w:rsidRPr="006307D5">
        <w:t>,</w:t>
      </w:r>
      <w:r>
        <w:t xml:space="preserve"> Olech asked the Village to connect her property to the municipal water supply.</w:t>
      </w:r>
      <w:r>
        <w:rPr>
          <w:rStyle w:val="EndnoteReference"/>
        </w:rPr>
        <w:endnoteReference w:id="12"/>
      </w:r>
      <w:r>
        <w:t xml:space="preserve">  The Village conditioned the connection on Olech granting a 33-foot easement, when other property owners who had sought connections to the water supply were only required to grant 15-foot easements.</w:t>
      </w:r>
      <w:r>
        <w:rPr>
          <w:rStyle w:val="EndnoteReference"/>
        </w:rPr>
        <w:endnoteReference w:id="13"/>
      </w:r>
      <w:r>
        <w:t xml:space="preserve">  Olech sued for a violation of the Equal Protection Clause</w:t>
      </w:r>
      <w:r w:rsidR="006154FC">
        <w:t>.</w:t>
      </w:r>
      <w:r w:rsidR="006154FC">
        <w:rPr>
          <w:rStyle w:val="EndnoteReference"/>
        </w:rPr>
        <w:endnoteReference w:id="14"/>
      </w:r>
      <w:r w:rsidR="006154FC">
        <w:t xml:space="preserve">  </w:t>
      </w:r>
    </w:p>
    <w:p w:rsidR="00EC7C94" w:rsidRPr="00EC7C94" w:rsidRDefault="006154FC" w:rsidP="00EC7C94">
      <w:r>
        <w:tab/>
        <w:t>After the district court dismissed her complaint on the grounds that Olech had not pleaded a valid Equal Protection claim, the Court of Appeals for the Seventh Circuit reversed.</w:t>
      </w:r>
      <w:r>
        <w:rPr>
          <w:rStyle w:val="EndnoteReference"/>
        </w:rPr>
        <w:endnoteReference w:id="15"/>
      </w:r>
      <w:r>
        <w:t xml:space="preserve">  The Seventh Circuit held that the case could not be dismissed on the pleadings (even if Olech did not eventually prevail), </w:t>
      </w:r>
      <w:r w:rsidR="004443E2">
        <w:t>because Olech had sufficiently alleged that she was treated differently based on “</w:t>
      </w:r>
      <w:r w:rsidR="004443E2" w:rsidRPr="004443E2">
        <w:t>totally illegitimate animus</w:t>
      </w:r>
      <w:r w:rsidR="004443E2">
        <w:t>” towards her from the Village.</w:t>
      </w:r>
      <w:r w:rsidR="004443E2">
        <w:rPr>
          <w:rStyle w:val="EndnoteReference"/>
        </w:rPr>
        <w:endnoteReference w:id="16"/>
      </w:r>
      <w:r w:rsidR="004443E2">
        <w:t xml:space="preserve">  Specifically, Olech alleged that she had formerly sued the Village, and won damages, for flood damage caused by the Villages negligent installation of flooding culverts.</w:t>
      </w:r>
      <w:r w:rsidR="004443E2">
        <w:rPr>
          <w:rStyle w:val="EndnoteReference"/>
        </w:rPr>
        <w:endnoteReference w:id="17"/>
      </w:r>
      <w:r w:rsidR="004443E2">
        <w:t xml:space="preserve">  The “substantial ill will” caused by the lawsuit provided the motivation for the Village to demand more than double the width of the standard easement fr</w:t>
      </w:r>
      <w:r w:rsidR="00B941D9">
        <w:t>o</w:t>
      </w:r>
      <w:r w:rsidR="004443E2">
        <w:t>m Olech.</w:t>
      </w:r>
      <w:r w:rsidR="004443E2">
        <w:rPr>
          <w:rStyle w:val="EndnoteReference"/>
        </w:rPr>
        <w:endnoteReference w:id="18"/>
      </w:r>
      <w:r w:rsidR="004443E2">
        <w:t xml:space="preserve"> </w:t>
      </w:r>
      <w:r w:rsidR="004443E2" w:rsidRPr="004443E2">
        <w:rPr>
          <w:rFonts w:ascii="Times New Roman" w:eastAsia="Times New Roman" w:hAnsi="Times New Roman" w:cs="Times New Roman"/>
          <w:sz w:val="24"/>
          <w:szCs w:val="24"/>
        </w:rPr>
        <w:t xml:space="preserve"> </w:t>
      </w:r>
      <w:r w:rsidR="004443E2">
        <w:t xml:space="preserve">The Seventh Circuit reasoned that </w:t>
      </w:r>
      <w:r w:rsidR="00EC7C94">
        <w:t>Olech would have to prove that the Village</w:t>
      </w:r>
      <w:r w:rsidR="001D5BE4">
        <w:t>’</w:t>
      </w:r>
      <w:r w:rsidR="00EC7C94">
        <w:t>s differential treatment of her was caused by an illegitimate reason (</w:t>
      </w:r>
      <w:r w:rsidR="00B941D9">
        <w:t xml:space="preserve">e.g., </w:t>
      </w:r>
      <w:r w:rsidR="00EC7C94">
        <w:t>vindictive animus).</w:t>
      </w:r>
      <w:r w:rsidR="00EC7C94">
        <w:rPr>
          <w:rStyle w:val="EndnoteReference"/>
        </w:rPr>
        <w:endnoteReference w:id="19"/>
      </w:r>
      <w:r w:rsidR="00EC7C94">
        <w:t xml:space="preserve">  The Seventh Circuit also concluded that the requirement of a totally illegitimate animus would prevent “</w:t>
      </w:r>
      <w:r w:rsidR="00EC7C94" w:rsidRPr="00EC7C94">
        <w:t>turning every squabble over municipal services, of which there must be tens or even hundreds of thousands every year, into a federal constitutional case.</w:t>
      </w:r>
      <w:r w:rsidR="00EC7C94">
        <w:t>”</w:t>
      </w:r>
      <w:r w:rsidR="00EC7C94">
        <w:rPr>
          <w:rStyle w:val="EndnoteReference"/>
        </w:rPr>
        <w:endnoteReference w:id="20"/>
      </w:r>
    </w:p>
    <w:p w:rsidR="00720465" w:rsidRPr="00720465" w:rsidRDefault="0019666D" w:rsidP="00720465">
      <w:r>
        <w:tab/>
        <w:t>The Supreme Court accepted the case “</w:t>
      </w:r>
      <w:r w:rsidR="00EC02BF" w:rsidRPr="00EC02BF">
        <w:t xml:space="preserve">to determine whether the Equal Protection Clause gives rise to a cause of action on behalf of a </w:t>
      </w:r>
      <w:r w:rsidR="001D5BE4">
        <w:t>‘</w:t>
      </w:r>
      <w:r w:rsidR="00EC02BF">
        <w:t>c</w:t>
      </w:r>
      <w:r w:rsidR="00EC02BF" w:rsidRPr="00EC02BF">
        <w:t>lass of one</w:t>
      </w:r>
      <w:r w:rsidR="001D5BE4">
        <w:t>’</w:t>
      </w:r>
      <w:r w:rsidR="00EC02BF" w:rsidRPr="00EC02BF">
        <w:t xml:space="preserve"> where the plaintiff did not allege membership in a class or group</w:t>
      </w:r>
      <w:r w:rsidR="00EC02BF">
        <w:t>.”</w:t>
      </w:r>
      <w:r w:rsidR="00EC02BF">
        <w:rPr>
          <w:rStyle w:val="EndnoteReference"/>
        </w:rPr>
        <w:endnoteReference w:id="21"/>
      </w:r>
      <w:r w:rsidR="00F11316">
        <w:t xml:space="preserve">  The Supreme Court did not address  “the Village</w:t>
      </w:r>
      <w:r w:rsidR="001D5BE4">
        <w:t>’</w:t>
      </w:r>
      <w:r w:rsidR="00F11316">
        <w:t>s subjective motivation” or “subjective ill will” relied on by the Seventh Circuit.</w:t>
      </w:r>
      <w:r w:rsidR="00F11316">
        <w:rPr>
          <w:rStyle w:val="EndnoteReference"/>
        </w:rPr>
        <w:endnoteReference w:id="22"/>
      </w:r>
      <w:r w:rsidR="00F11316">
        <w:t xml:space="preserve"> Rather, in a very brief opinion, the Supreme Court held that a plaintiff alleges a valid “class of one” claim “</w:t>
      </w:r>
      <w:r w:rsidR="00F11316" w:rsidRPr="00F11316">
        <w:t>where the plaintiff alleges that she has been intentionally treated differently from others similarly situated and that there is no rational basis for the difference in treatment.</w:t>
      </w:r>
      <w:r w:rsidR="00F11316">
        <w:t>”</w:t>
      </w:r>
      <w:r w:rsidR="00F11316">
        <w:rPr>
          <w:rStyle w:val="EndnoteReference"/>
        </w:rPr>
        <w:endnoteReference w:id="23"/>
      </w:r>
      <w:r w:rsidR="00720465">
        <w:t xml:space="preserve">  One justice concurred, and wrote a separate opinion stating that the “added factor” of “an illegitimate desire to </w:t>
      </w:r>
      <w:r w:rsidR="001D5BE4">
        <w:t>‘</w:t>
      </w:r>
      <w:r w:rsidR="00720465">
        <w:t>get</w:t>
      </w:r>
      <w:r w:rsidR="001D5BE4">
        <w:t>’</w:t>
      </w:r>
      <w:r w:rsidR="00720465">
        <w:t xml:space="preserve"> [the plaintiff]” was “</w:t>
      </w:r>
      <w:r w:rsidR="00720465" w:rsidRPr="00720465">
        <w:t>sufficient to minimize any concern about transforming run-of-the-mill zoning cases into</w:t>
      </w:r>
      <w:r w:rsidR="00720465">
        <w:t xml:space="preserve"> cases of constitutional right.”</w:t>
      </w:r>
      <w:r w:rsidR="00720465">
        <w:rPr>
          <w:rStyle w:val="EndnoteReference"/>
        </w:rPr>
        <w:endnoteReference w:id="24"/>
      </w:r>
    </w:p>
    <w:p w:rsidR="002159AC" w:rsidRDefault="00720465" w:rsidP="00A770DF">
      <w:r>
        <w:tab/>
        <w:t xml:space="preserve">In the wake of </w:t>
      </w:r>
      <w:r>
        <w:rPr>
          <w:i/>
        </w:rPr>
        <w:t>Olech</w:t>
      </w:r>
      <w:r>
        <w:t>, courts struggled with defining the exact scope of a “class of one” claim, including whether ill will or some other improper motivation was a</w:t>
      </w:r>
      <w:r w:rsidR="0009007B">
        <w:t xml:space="preserve"> necessary part of such claim.</w:t>
      </w:r>
      <w:r w:rsidR="002159AC">
        <w:t xml:space="preserve">  Then, e</w:t>
      </w:r>
      <w:r w:rsidR="00887137">
        <w:t xml:space="preserve">ight years after </w:t>
      </w:r>
      <w:r w:rsidR="00887137" w:rsidRPr="00887137">
        <w:rPr>
          <w:i/>
        </w:rPr>
        <w:t>Olech</w:t>
      </w:r>
      <w:r w:rsidR="00887137">
        <w:t>, t</w:t>
      </w:r>
      <w:r w:rsidR="00887137" w:rsidRPr="00887137">
        <w:t>he</w:t>
      </w:r>
      <w:r w:rsidR="00887137">
        <w:t xml:space="preserve"> Supreme Court addressed class of one claims again.</w:t>
      </w:r>
      <w:r w:rsidR="0026381C">
        <w:rPr>
          <w:rStyle w:val="EndnoteReference"/>
        </w:rPr>
        <w:endnoteReference w:id="25"/>
      </w:r>
    </w:p>
    <w:p w:rsidR="00A770DF" w:rsidRPr="00A770DF" w:rsidRDefault="002159AC" w:rsidP="00A770DF">
      <w:r>
        <w:tab/>
      </w:r>
      <w:r w:rsidR="008E55A9">
        <w:t>In</w:t>
      </w:r>
      <w:r w:rsidR="008E55A9" w:rsidRPr="008E55A9">
        <w:rPr>
          <w:i/>
          <w:iCs/>
        </w:rPr>
        <w:t xml:space="preserve"> Engquist v. Oregon De</w:t>
      </w:r>
      <w:r>
        <w:rPr>
          <w:i/>
          <w:iCs/>
        </w:rPr>
        <w:t>p</w:t>
      </w:r>
      <w:r w:rsidR="008E55A9">
        <w:rPr>
          <w:i/>
          <w:iCs/>
        </w:rPr>
        <w:t>artment of Agriculture</w:t>
      </w:r>
      <w:r w:rsidR="008E55A9">
        <w:rPr>
          <w:iCs/>
        </w:rPr>
        <w:t>,</w:t>
      </w:r>
      <w:r>
        <w:rPr>
          <w:iCs/>
        </w:rPr>
        <w:t xml:space="preserve"> </w:t>
      </w:r>
      <w:r w:rsidR="0026381C">
        <w:t>the Court addressed public employmen</w:t>
      </w:r>
      <w:r w:rsidR="00A770DF">
        <w:t>t,</w:t>
      </w:r>
      <w:r w:rsidR="0026381C">
        <w:t xml:space="preserve"> providing guidance on the </w:t>
      </w:r>
      <w:r w:rsidR="00A770DF">
        <w:t>when a class of one claim may be appropriate.  En</w:t>
      </w:r>
      <w:r w:rsidR="001D5BE4">
        <w:t>g</w:t>
      </w:r>
      <w:r w:rsidR="00A770DF">
        <w:t>quist was hired to a position within a particular division of the Oregon</w:t>
      </w:r>
      <w:r w:rsidR="0026381C">
        <w:t xml:space="preserve"> </w:t>
      </w:r>
      <w:r w:rsidR="00A770DF">
        <w:t>Department of Agriculture.</w:t>
      </w:r>
      <w:r w:rsidR="00A770DF">
        <w:rPr>
          <w:rStyle w:val="EndnoteReference"/>
          <w:rFonts w:ascii="Times New Roman" w:eastAsia="Times New Roman" w:hAnsi="Times New Roman" w:cs="Times New Roman"/>
          <w:sz w:val="24"/>
          <w:szCs w:val="24"/>
        </w:rPr>
        <w:endnoteReference w:id="26"/>
      </w:r>
      <w:r w:rsidR="00A770DF">
        <w:t xml:space="preserve">  She experienced repeated problems with a fel</w:t>
      </w:r>
      <w:r w:rsidR="005D60C3">
        <w:t>l</w:t>
      </w:r>
      <w:r w:rsidR="00A770DF">
        <w:t>ow emplo</w:t>
      </w:r>
      <w:r w:rsidR="005D60C3">
        <w:t>yee</w:t>
      </w:r>
      <w:r w:rsidR="00E47EDF">
        <w:t xml:space="preserve">, Hyatt, </w:t>
      </w:r>
      <w:r w:rsidR="005D60C3">
        <w:t>and reported these to her supervisor.</w:t>
      </w:r>
      <w:r w:rsidR="005D60C3">
        <w:rPr>
          <w:rStyle w:val="EndnoteReference"/>
        </w:rPr>
        <w:endnoteReference w:id="27"/>
      </w:r>
      <w:r w:rsidR="005D60C3">
        <w:t xml:space="preserve">  The supervisor required </w:t>
      </w:r>
      <w:r w:rsidR="00E47EDF">
        <w:t>Hyatt</w:t>
      </w:r>
      <w:r w:rsidR="005D60C3">
        <w:t xml:space="preserve"> to attend diversity and anger management training.</w:t>
      </w:r>
      <w:r w:rsidR="005D60C3">
        <w:rPr>
          <w:rStyle w:val="EndnoteReference"/>
        </w:rPr>
        <w:endnoteReference w:id="28"/>
      </w:r>
      <w:r w:rsidR="005D60C3">
        <w:t xml:space="preserve">  After approximately nine years, an assistant director </w:t>
      </w:r>
      <w:r w:rsidR="00E47EDF">
        <w:t>of</w:t>
      </w:r>
      <w:r w:rsidR="005D60C3">
        <w:t xml:space="preserve"> the Department was assigned to take responsibility over the division that employed Engquist.</w:t>
      </w:r>
      <w:r w:rsidR="00E47EDF">
        <w:rPr>
          <w:rStyle w:val="EndnoteReference"/>
        </w:rPr>
        <w:endnoteReference w:id="29"/>
      </w:r>
      <w:r w:rsidR="00E47EDF">
        <w:t xml:space="preserve">  Engquist and Hyatt both applied for a managerial position that had opened up; despite Engquist having more relevant experience, the director chose Hyatt for the position.</w:t>
      </w:r>
      <w:r w:rsidR="00E47EDF">
        <w:rPr>
          <w:rStyle w:val="EndnoteReference"/>
        </w:rPr>
        <w:endnoteReference w:id="30"/>
      </w:r>
      <w:r w:rsidR="00E47EDF">
        <w:t xml:space="preserve">  Later, Engquist was informed that her positon would be eliminated</w:t>
      </w:r>
      <w:r w:rsidR="00B6181C">
        <w:t>, effectively laying her off.</w:t>
      </w:r>
      <w:r w:rsidR="00B6181C">
        <w:rPr>
          <w:rStyle w:val="EndnoteReference"/>
        </w:rPr>
        <w:endnoteReference w:id="31"/>
      </w:r>
      <w:r w:rsidR="00E47EDF">
        <w:t xml:space="preserve">    </w:t>
      </w:r>
    </w:p>
    <w:p w:rsidR="008E55A9" w:rsidRDefault="00B6181C" w:rsidP="008E55A9">
      <w:r>
        <w:tab/>
        <w:t>Engquist sued alleging multiple theories, including a class of one Equal Protection claim.</w:t>
      </w:r>
      <w:r>
        <w:rPr>
          <w:rStyle w:val="EndnoteReference"/>
        </w:rPr>
        <w:endnoteReference w:id="32"/>
      </w:r>
      <w:r>
        <w:t xml:space="preserve">  Engquist argued, based on </w:t>
      </w:r>
      <w:r w:rsidRPr="00B6181C">
        <w:rPr>
          <w:i/>
        </w:rPr>
        <w:t>Olech</w:t>
      </w:r>
      <w:r>
        <w:t>, that “</w:t>
      </w:r>
      <w:r w:rsidRPr="00B6181C">
        <w:t>the Equal Protection Clause forbids public employers from irrationally treating one employee differently from others similarly situated, regardless of whether the different treatment is based on the employee</w:t>
      </w:r>
      <w:r w:rsidR="001D5BE4">
        <w:t>’</w:t>
      </w:r>
      <w:r w:rsidRPr="00B6181C">
        <w:t>s membership in a particular class.</w:t>
      </w:r>
      <w:r>
        <w:t>”</w:t>
      </w:r>
      <w:r>
        <w:rPr>
          <w:rStyle w:val="EndnoteReference"/>
        </w:rPr>
        <w:endnoteReference w:id="33"/>
      </w:r>
      <w:r w:rsidR="00750A2D">
        <w:t xml:space="preserve"> </w:t>
      </w:r>
      <w:r w:rsidR="00772C9E">
        <w:t xml:space="preserve"> </w:t>
      </w:r>
      <w:r w:rsidR="00750A2D">
        <w:t>The Supreme Court disagreed, stating two reasons.</w:t>
      </w:r>
    </w:p>
    <w:p w:rsidR="00750A2D" w:rsidRPr="00750A2D" w:rsidRDefault="00750A2D" w:rsidP="00750A2D">
      <w:r>
        <w:tab/>
        <w:t>First, relying on other cases involving constitutional rights, the Supreme Court explained, “[T]</w:t>
      </w:r>
      <w:r w:rsidRPr="00750A2D">
        <w:t xml:space="preserve">here is a crucial difference, with respect to constitutional analysis, between the government exercising </w:t>
      </w:r>
      <w:r w:rsidR="001D5BE4">
        <w:t>‘</w:t>
      </w:r>
      <w:r w:rsidRPr="00750A2D">
        <w:t>the power to regulate or license, as lawmaker,</w:t>
      </w:r>
      <w:r w:rsidR="001D5BE4">
        <w:t>’</w:t>
      </w:r>
      <w:r w:rsidRPr="00750A2D">
        <w:t xml:space="preserve"> and the government acting </w:t>
      </w:r>
      <w:r w:rsidR="001D5BE4">
        <w:t>‘</w:t>
      </w:r>
      <w:r w:rsidRPr="00750A2D">
        <w:t>as proprietor, to manage [its] internal operation.</w:t>
      </w:r>
      <w:r w:rsidR="001D5BE4">
        <w:t>’</w:t>
      </w:r>
      <w:r w:rsidRPr="00750A2D">
        <w:t>”</w:t>
      </w:r>
      <w:r>
        <w:rPr>
          <w:rStyle w:val="EndnoteReference"/>
        </w:rPr>
        <w:endnoteReference w:id="34"/>
      </w:r>
      <w:r>
        <w:t xml:space="preserve">  The rationale is largely pragmatic:</w:t>
      </w:r>
    </w:p>
    <w:p w:rsidR="00750A2D" w:rsidRDefault="00750A2D" w:rsidP="00750A2D">
      <w:pPr>
        <w:pStyle w:val="BlockQuote"/>
      </w:pPr>
      <w:r w:rsidRPr="00750A2D">
        <w:t>Given the “common-sense realization that government offices could not function if every employment decision became a constitutional matter,”</w:t>
      </w:r>
      <w:r>
        <w:t xml:space="preserve"> …</w:t>
      </w:r>
      <w:r w:rsidRPr="00750A2D">
        <w:t xml:space="preserve"> “constitutional review of government employment decisions must rest on different principles than review of ... restraints imposed by the government as sovereign</w:t>
      </w:r>
      <w:r>
        <w:t>[.]</w:t>
      </w:r>
      <w:r w:rsidRPr="00750A2D">
        <w:t>”</w:t>
      </w:r>
      <w:r>
        <w:rPr>
          <w:rStyle w:val="EndnoteReference"/>
        </w:rPr>
        <w:endnoteReference w:id="35"/>
      </w:r>
    </w:p>
    <w:p w:rsidR="00750A2D" w:rsidRDefault="00750A2D" w:rsidP="00750A2D">
      <w:pPr>
        <w:pStyle w:val="BlockQuote"/>
      </w:pPr>
    </w:p>
    <w:p w:rsidR="006307D5" w:rsidRDefault="006B6D53" w:rsidP="006307D5">
      <w:r>
        <w:tab/>
        <w:t>Second, the Supreme Court explained that its Equal Protection cases “</w:t>
      </w:r>
      <w:r w:rsidRPr="006B6D53">
        <w:t>ha</w:t>
      </w:r>
      <w:r w:rsidR="00B941D9">
        <w:t>[ve]</w:t>
      </w:r>
      <w:r w:rsidRPr="006B6D53">
        <w:t xml:space="preserve"> typically been concerned with governmental classifications that </w:t>
      </w:r>
      <w:r w:rsidR="001D5BE4">
        <w:t>‘</w:t>
      </w:r>
      <w:r>
        <w:t>a</w:t>
      </w:r>
      <w:r w:rsidRPr="006B6D53">
        <w:t>ffect some groups of citizens differently than others.</w:t>
      </w:r>
      <w:r w:rsidR="001D5BE4">
        <w:t>’</w:t>
      </w:r>
      <w:r w:rsidRPr="006B6D53">
        <w:t>”</w:t>
      </w:r>
      <w:r>
        <w:rPr>
          <w:rStyle w:val="EndnoteReference"/>
        </w:rPr>
        <w:endnoteReference w:id="36"/>
      </w:r>
      <w:r>
        <w:t xml:space="preserve"> That is, generally, plaintiffs in Equal Protection generally contend that they had been arbitrarily classified as members of an “identifiable group.”</w:t>
      </w:r>
      <w:r>
        <w:rPr>
          <w:rStyle w:val="EndnoteReference"/>
        </w:rPr>
        <w:endnoteReference w:id="37"/>
      </w:r>
      <w:r w:rsidR="009C52C4">
        <w:t xml:space="preserve">  However, the Court again recognized that the Equal Protection Clause protects people, not groups, explaining, “</w:t>
      </w:r>
      <w:r w:rsidR="009C52C4" w:rsidRPr="009C52C4">
        <w:t>When those who appear similarly situated are nevertheless treated differently, the Equal Protection Clause requires at least a rational reason for the difference, to ensure that all persons subject to legislation or regulation are indeed being “treated alike, under like circumstances and conditions.”</w:t>
      </w:r>
      <w:r w:rsidR="009C52C4">
        <w:rPr>
          <w:rStyle w:val="EndnoteReference"/>
        </w:rPr>
        <w:endnoteReference w:id="38"/>
      </w:r>
    </w:p>
    <w:p w:rsidR="009C52C4" w:rsidRDefault="009C52C4" w:rsidP="006307D5">
      <w:r>
        <w:tab/>
        <w:t xml:space="preserve">Elaborating on </w:t>
      </w:r>
      <w:r>
        <w:rPr>
          <w:i/>
        </w:rPr>
        <w:t>Olech</w:t>
      </w:r>
      <w:r>
        <w:t xml:space="preserve"> and the cases on which the Court relied in the </w:t>
      </w:r>
      <w:r>
        <w:rPr>
          <w:i/>
        </w:rPr>
        <w:t xml:space="preserve">Olech </w:t>
      </w:r>
      <w:r>
        <w:t>opinion, the court stated,</w:t>
      </w:r>
    </w:p>
    <w:p w:rsidR="009C52C4" w:rsidRDefault="009C52C4" w:rsidP="009C52C4">
      <w:pPr>
        <w:pStyle w:val="BlockQuote"/>
      </w:pPr>
      <w:r w:rsidRPr="009C52C4">
        <w:t xml:space="preserve">What seems to have been significant </w:t>
      </w:r>
      <w:r>
        <w:t>…</w:t>
      </w:r>
      <w:r w:rsidRPr="009C52C4">
        <w:t xml:space="preserve"> was the existence of </w:t>
      </w:r>
      <w:r w:rsidRPr="009C52C4">
        <w:rPr>
          <w:b/>
        </w:rPr>
        <w:t>a clear standard against which departures, even for a single plaintiff, could be readily assessed</w:t>
      </w:r>
      <w:r w:rsidRPr="009C52C4">
        <w:t xml:space="preserve">. </w:t>
      </w:r>
      <w:r>
        <w:t xml:space="preserve"> </w:t>
      </w:r>
      <w:r w:rsidRPr="009C52C4">
        <w:t xml:space="preserve">There was no indication in </w:t>
      </w:r>
      <w:r w:rsidRPr="009C52C4">
        <w:rPr>
          <w:i/>
          <w:iCs/>
        </w:rPr>
        <w:t>Olech</w:t>
      </w:r>
      <w:r w:rsidRPr="009C52C4">
        <w:t xml:space="preserve"> that the zoning board was exercising </w:t>
      </w:r>
      <w:r w:rsidRPr="009C52C4">
        <w:rPr>
          <w:b/>
        </w:rPr>
        <w:t>discretionary authority based on subjective, individualized determinations</w:t>
      </w:r>
      <w:r>
        <w:t xml:space="preserve"> ….</w:t>
      </w:r>
      <w:r>
        <w:rPr>
          <w:rStyle w:val="EndnoteReference"/>
        </w:rPr>
        <w:endnoteReference w:id="39"/>
      </w:r>
    </w:p>
    <w:p w:rsidR="009C52C4" w:rsidRPr="009C52C4" w:rsidRDefault="009C52C4" w:rsidP="009C52C4">
      <w:pPr>
        <w:pStyle w:val="BlockQuote"/>
      </w:pPr>
    </w:p>
    <w:p w:rsidR="009C52C4" w:rsidRPr="009C52C4" w:rsidRDefault="00A725A3" w:rsidP="006307D5">
      <w:r>
        <w:t xml:space="preserve">After further explanation of </w:t>
      </w:r>
      <w:r>
        <w:rPr>
          <w:i/>
        </w:rPr>
        <w:t xml:space="preserve">Olech </w:t>
      </w:r>
      <w:r>
        <w:t xml:space="preserve">and the opinions cited in </w:t>
      </w:r>
      <w:r>
        <w:rPr>
          <w:i/>
        </w:rPr>
        <w:t>Olech</w:t>
      </w:r>
      <w:r>
        <w:t>, the Court came back to the contrast identified by the bolded language in the above quotes</w:t>
      </w:r>
      <w:r w:rsidR="008E4E23">
        <w:t>:</w:t>
      </w:r>
    </w:p>
    <w:p w:rsidR="008E4E23" w:rsidRDefault="00A725A3" w:rsidP="008E4E23">
      <w:pPr>
        <w:pStyle w:val="BlockQuote"/>
      </w:pPr>
      <w:r w:rsidRPr="00A725A3">
        <w:t>There are some forms of state action, however, which by their nature involve discretionary decision</w:t>
      </w:r>
      <w:r w:rsidR="00BB3C7F">
        <w:t xml:space="preserve"> </w:t>
      </w:r>
      <w:r w:rsidRPr="00A725A3">
        <w:t xml:space="preserve">making based on a vast array of subjective, individualized assessments. </w:t>
      </w:r>
      <w:r w:rsidR="008E4E23">
        <w:t xml:space="preserve"> </w:t>
      </w:r>
      <w:r w:rsidRPr="00A725A3">
        <w:t xml:space="preserve">In such cases the rule that people should be “treated alike, under like circumstances and conditions” is not violated when one person is treated differently from others, because treating like individuals differently is an accepted consequence of the discretion granted. </w:t>
      </w:r>
      <w:r w:rsidR="008E4E23">
        <w:t xml:space="preserve"> </w:t>
      </w:r>
      <w:r w:rsidRPr="00A725A3">
        <w:t>In such situations, allowing a challenge based on the arbitrary singling out of a particular person would undermine the very discretion that such state officials are entrusted to exercise.</w:t>
      </w:r>
      <w:r w:rsidR="001B5A0A">
        <w:rPr>
          <w:rStyle w:val="EndnoteReference"/>
        </w:rPr>
        <w:endnoteReference w:id="40"/>
      </w:r>
    </w:p>
    <w:p w:rsidR="00CE6215" w:rsidRDefault="001B5A0A" w:rsidP="00CE6215">
      <w:r>
        <w:t xml:space="preserve">Recognizing that </w:t>
      </w:r>
      <w:r w:rsidR="00CE6215">
        <w:t>“</w:t>
      </w:r>
      <w:r>
        <w:t>employment decisions are quite often subjective and individualized, resting on a wide array of factors that are difficult to articulate and quantify</w:t>
      </w:r>
      <w:r w:rsidR="00CE6215">
        <w:t>,” the Court concluded that “</w:t>
      </w:r>
      <w:r w:rsidR="00CE6215" w:rsidRPr="00CE6215">
        <w:t>the class-of-one theory of equal protection</w:t>
      </w:r>
      <w:r w:rsidR="00CE6215">
        <w:t xml:space="preserve"> … </w:t>
      </w:r>
      <w:r w:rsidR="00CE6215" w:rsidRPr="00CE6215">
        <w:t xml:space="preserve">is simply a poor fit in the public employment </w:t>
      </w:r>
      <w:r w:rsidR="00CE6215">
        <w:t>context.”</w:t>
      </w:r>
      <w:r w:rsidR="00CE6215">
        <w:rPr>
          <w:rStyle w:val="EndnoteReference"/>
        </w:rPr>
        <w:endnoteReference w:id="41"/>
      </w:r>
    </w:p>
    <w:p w:rsidR="004A0D48" w:rsidRPr="002159AC" w:rsidRDefault="004A0D48" w:rsidP="00CE6215">
      <w:pPr>
        <w:rPr>
          <w:b/>
        </w:rPr>
      </w:pPr>
      <w:r w:rsidRPr="002159AC">
        <w:rPr>
          <w:b/>
        </w:rPr>
        <w:t>IV</w:t>
      </w:r>
      <w:r w:rsidR="002159AC">
        <w:rPr>
          <w:b/>
        </w:rPr>
        <w:t>.</w:t>
      </w:r>
      <w:r w:rsidR="002159AC">
        <w:rPr>
          <w:b/>
        </w:rPr>
        <w:tab/>
        <w:t>Integrity Collision discussion and practical advice.</w:t>
      </w:r>
    </w:p>
    <w:p w:rsidR="001B5A0A" w:rsidRDefault="00DA4E1C" w:rsidP="001B5A0A">
      <w:r>
        <w:tab/>
        <w:t>Although seemingly broad at first glance, a “class of one” theory of Equal Protection is subject to limits.  Essentially, when the decision at issue is one based on a number of subjective factors and within the discretion of the government actor, then a class of one theory is not available.</w:t>
      </w:r>
      <w:r>
        <w:rPr>
          <w:rStyle w:val="EndnoteReference"/>
        </w:rPr>
        <w:endnoteReference w:id="42"/>
      </w:r>
      <w:r>
        <w:t xml:space="preserve">  One area of potential class of one claims is likely very familiar to municipal governments and law enforcement, in particular: claims of selective enforcement or selective prosecution</w:t>
      </w:r>
      <w:r w:rsidR="00727B9F">
        <w:t xml:space="preserve"> (“selective prosecution,” for shorthand)</w:t>
      </w:r>
      <w:r>
        <w:t>.</w:t>
      </w:r>
    </w:p>
    <w:p w:rsidR="005D34FE" w:rsidRDefault="00727B9F" w:rsidP="001B5A0A">
      <w:r>
        <w:tab/>
        <w:t>The classic formulation for a selective prosecution claim is stated by the Supreme Court:</w:t>
      </w:r>
    </w:p>
    <w:p w:rsidR="001B5A0A" w:rsidRDefault="005D34FE" w:rsidP="00727B9F">
      <w:pPr>
        <w:pStyle w:val="BlockQuote"/>
      </w:pPr>
      <w:r w:rsidRPr="005D34FE">
        <w:t>[T]o successfully bring a selective prosecution or enforcement claim, a plaintiff must prove that the government official</w:t>
      </w:r>
      <w:r w:rsidR="001D5BE4">
        <w:t>’</w:t>
      </w:r>
      <w:r w:rsidRPr="005D34FE">
        <w:t xml:space="preserve">s acts were </w:t>
      </w:r>
      <w:r w:rsidRPr="00727B9F">
        <w:rPr>
          <w:b/>
        </w:rPr>
        <w:t>motivated by improper considerations, such as race, religion, or the desire to prevent the exercise of a constitutional right</w:t>
      </w:r>
      <w:r w:rsidRPr="005D34FE">
        <w:t>.</w:t>
      </w:r>
      <w:r>
        <w:rPr>
          <w:rStyle w:val="EndnoteReference"/>
        </w:rPr>
        <w:endnoteReference w:id="43"/>
      </w:r>
    </w:p>
    <w:p w:rsidR="00727B9F" w:rsidRDefault="00727B9F" w:rsidP="00727B9F">
      <w:pPr>
        <w:pStyle w:val="BlockQuote"/>
      </w:pPr>
    </w:p>
    <w:p w:rsidR="00A70F28" w:rsidRDefault="00727B9F" w:rsidP="008106D9">
      <w:r>
        <w:t>Thus, selective prosecution is generally understood as many people probably envision the Equal Protection clause.  That is, the government may not single a person out for differential treatment based upon a persons membership in a protected group (e.g., a certain religion or the a group of people exercising the right to free speech).</w:t>
      </w:r>
    </w:p>
    <w:p w:rsidR="00727B9F" w:rsidRPr="00727B9F" w:rsidRDefault="00727B9F" w:rsidP="008106D9">
      <w:r>
        <w:tab/>
        <w:t xml:space="preserve">But how might </w:t>
      </w:r>
      <w:r>
        <w:rPr>
          <w:i/>
        </w:rPr>
        <w:t>Olech</w:t>
      </w:r>
      <w:r>
        <w:t xml:space="preserve"> and a class of one theory apply?  In </w:t>
      </w:r>
      <w:r w:rsidRPr="00B6181C">
        <w:rPr>
          <w:i/>
          <w:iCs/>
        </w:rPr>
        <w:t>Engquist</w:t>
      </w:r>
      <w:r>
        <w:rPr>
          <w:iCs/>
        </w:rPr>
        <w:t>, the Supreme Court, in explaining its hol</w:t>
      </w:r>
      <w:r w:rsidR="00460A41">
        <w:rPr>
          <w:iCs/>
        </w:rPr>
        <w:t>d</w:t>
      </w:r>
      <w:r>
        <w:rPr>
          <w:iCs/>
        </w:rPr>
        <w:t>ing relating to employment, used the following example:</w:t>
      </w:r>
    </w:p>
    <w:p w:rsidR="004A0D48" w:rsidRDefault="001B5A0A" w:rsidP="004A0D48">
      <w:pPr>
        <w:pStyle w:val="BlockQuote"/>
      </w:pPr>
      <w:r w:rsidRPr="008E4E23">
        <w:t>Suppose, for example, that a traffic officer is stationed on a busy highway where people often drive above the speed limit, and there is no basis upon which to distinguish them.</w:t>
      </w:r>
      <w:r w:rsidR="001579C8">
        <w:t xml:space="preserve"> </w:t>
      </w:r>
      <w:r w:rsidR="00F427BF">
        <w:t xml:space="preserve"> </w:t>
      </w:r>
      <w:r w:rsidRPr="008E4E23">
        <w:t xml:space="preserve">If the officer gives only one of those people a ticket, </w:t>
      </w:r>
      <w:r w:rsidRPr="002F5ED3">
        <w:t>it may be good English</w:t>
      </w:r>
      <w:r w:rsidR="00F427BF">
        <w:t xml:space="preserve"> </w:t>
      </w:r>
      <w:r w:rsidRPr="008E4E23">
        <w:t>to say that the officer has created a class of</w:t>
      </w:r>
      <w:r w:rsidR="001579C8">
        <w:t xml:space="preserve"> </w:t>
      </w:r>
      <w:r w:rsidRPr="008E4E23">
        <w:t>people that did not get speeding tickets, and a “class of one” that did.</w:t>
      </w:r>
      <w:r w:rsidR="001579C8">
        <w:t xml:space="preserve"> </w:t>
      </w:r>
      <w:r w:rsidRPr="008E4E23">
        <w:t xml:space="preserve"> But assuming that it is in the nature of the particular government activity that not all speeders can be stopped and ticketed, complaining that one has been singled out for no reason does not invoke the fear of improper government classification.</w:t>
      </w:r>
      <w:r w:rsidR="001579C8">
        <w:t xml:space="preserve">  </w:t>
      </w:r>
      <w:r w:rsidR="004A0D48">
        <w:t xml:space="preserve">Such a complaint, rather, challenges the legitimacy of the underlying action itself—the decision to ticket speeders under such circumstances. </w:t>
      </w:r>
      <w:r w:rsidR="001579C8">
        <w:t xml:space="preserve"> </w:t>
      </w:r>
      <w:r w:rsidR="004A0D48">
        <w:t xml:space="preserve">Of course, an allegation that speeding tickets are given out on the basis of race or sex would state an equal protection claim, because such discriminatory classifications implicate basic equal protection concerns. </w:t>
      </w:r>
      <w:r w:rsidR="001579C8">
        <w:t xml:space="preserve"> </w:t>
      </w:r>
      <w:r w:rsidR="004A0D48">
        <w:t>But allowing an equal protection claim on the ground that a ticket was given to one person and not others, even if for no discernible or articulable reason, would be incompatible with the discretion inherent in the challenged action.</w:t>
      </w:r>
      <w:r w:rsidR="001579C8">
        <w:t xml:space="preserve"> </w:t>
      </w:r>
      <w:r w:rsidR="004A0D48" w:rsidRPr="001579C8">
        <w:rPr>
          <w:b/>
        </w:rPr>
        <w:t>It is no proper challenge to what in its nature is a subjective, individualized decision that it was subjective and individualized</w:t>
      </w:r>
      <w:r w:rsidR="004A0D48">
        <w:t>.</w:t>
      </w:r>
      <w:r w:rsidR="001579C8">
        <w:rPr>
          <w:rStyle w:val="EndnoteReference"/>
        </w:rPr>
        <w:endnoteReference w:id="44"/>
      </w:r>
    </w:p>
    <w:p w:rsidR="004A0D48" w:rsidRDefault="004A0D48" w:rsidP="004A0D48">
      <w:pPr>
        <w:pStyle w:val="BlockQuote"/>
      </w:pPr>
    </w:p>
    <w:p w:rsidR="008106D9" w:rsidRPr="008106D9" w:rsidRDefault="001579C8" w:rsidP="008106D9">
      <w:r>
        <w:t xml:space="preserve">Thus, before </w:t>
      </w:r>
      <w:r>
        <w:rPr>
          <w:i/>
        </w:rPr>
        <w:t>Olech</w:t>
      </w:r>
      <w:r>
        <w:t xml:space="preserve"> and the class of one theory, the Supreme Court stated, “</w:t>
      </w:r>
      <w:r w:rsidR="008106D9" w:rsidRPr="008106D9">
        <w:t xml:space="preserve">It is appropriate to judge selective prosecution claims according to </w:t>
      </w:r>
      <w:r w:rsidR="008106D9" w:rsidRPr="00DA483D">
        <w:rPr>
          <w:b/>
        </w:rPr>
        <w:t>ordinary equal protection standards</w:t>
      </w:r>
      <w:r w:rsidR="008106D9" w:rsidRPr="008106D9">
        <w:t>.</w:t>
      </w:r>
      <w:r>
        <w:t>”</w:t>
      </w:r>
      <w:r>
        <w:rPr>
          <w:rStyle w:val="EndnoteReference"/>
        </w:rPr>
        <w:endnoteReference w:id="45"/>
      </w:r>
    </w:p>
    <w:p w:rsidR="00B75F44" w:rsidRDefault="00DA483D" w:rsidP="00142F14">
      <w:r>
        <w:tab/>
        <w:t>Another area subject to Equal Protection claims has been the selection of wreckers or tow trucks by law enforcement.</w:t>
      </w:r>
      <w:r>
        <w:rPr>
          <w:rStyle w:val="EndnoteReference"/>
        </w:rPr>
        <w:endnoteReference w:id="46"/>
      </w:r>
      <w:r w:rsidR="00E8599D">
        <w:t xml:space="preserve">  Recently, the Fifth Circuit addressed a class of one claim by towing companies that assert</w:t>
      </w:r>
      <w:r w:rsidR="00142F14">
        <w:t>ed</w:t>
      </w:r>
      <w:r w:rsidR="00E8599D">
        <w:t xml:space="preserve"> they were treated differently than other towing companies because they were not placed on a towing rotation list.</w:t>
      </w:r>
      <w:r w:rsidR="00142F14">
        <w:t xml:space="preserve">  In </w:t>
      </w:r>
      <w:r w:rsidR="00142F14" w:rsidRPr="00142F14">
        <w:rPr>
          <w:i/>
          <w:iCs/>
        </w:rPr>
        <w:t>Integrity Collision C</w:t>
      </w:r>
      <w:r w:rsidR="00142F14">
        <w:rPr>
          <w:i/>
          <w:iCs/>
        </w:rPr>
        <w:t>enter</w:t>
      </w:r>
      <w:r w:rsidR="00142F14" w:rsidRPr="00142F14">
        <w:rPr>
          <w:i/>
          <w:iCs/>
        </w:rPr>
        <w:t xml:space="preserve"> v. City of Fulshear</w:t>
      </w:r>
      <w:r w:rsidR="00142F14" w:rsidRPr="00142F14">
        <w:t xml:space="preserve">, </w:t>
      </w:r>
      <w:r w:rsidR="00B75F44">
        <w:t xml:space="preserve">the City withdrew from the </w:t>
      </w:r>
      <w:r w:rsidR="00C734A1">
        <w:t>County</w:t>
      </w:r>
      <w:r w:rsidR="00B75F44">
        <w:t xml:space="preserve"> wrecker rotation program for selecting towing companies to perform non-consent tows and began its own rotation program.</w:t>
      </w:r>
      <w:r w:rsidR="00B75F44">
        <w:rPr>
          <w:rStyle w:val="EndnoteReference"/>
        </w:rPr>
        <w:endnoteReference w:id="47"/>
      </w:r>
      <w:r w:rsidR="00C734A1">
        <w:t xml:space="preserve">  Two towing companies were selected and two, Integrity</w:t>
      </w:r>
      <w:r w:rsidR="00F96583">
        <w:t xml:space="preserve"> Collision </w:t>
      </w:r>
      <w:r w:rsidR="00C734A1">
        <w:t xml:space="preserve">and </w:t>
      </w:r>
      <w:proofErr w:type="spellStart"/>
      <w:r w:rsidR="00C734A1">
        <w:t>Buentello</w:t>
      </w:r>
      <w:proofErr w:type="spellEnd"/>
      <w:r w:rsidR="00C734A1">
        <w:t xml:space="preserve"> </w:t>
      </w:r>
      <w:r w:rsidR="00F96583">
        <w:t xml:space="preserve">Wrecker </w:t>
      </w:r>
      <w:r w:rsidR="00C734A1">
        <w:t>(collectively, “Integrity”), were excluded.</w:t>
      </w:r>
      <w:r w:rsidR="00C734A1">
        <w:rPr>
          <w:rStyle w:val="EndnoteReference"/>
        </w:rPr>
        <w:endnoteReference w:id="48"/>
      </w:r>
      <w:r w:rsidR="00B65349">
        <w:t xml:space="preserve">  The decision was made by the chief of police, and “[t]here was no formal process for reaching that decision.”</w:t>
      </w:r>
      <w:r w:rsidR="00B65349">
        <w:rPr>
          <w:rStyle w:val="EndnoteReference"/>
        </w:rPr>
        <w:endnoteReference w:id="49"/>
      </w:r>
    </w:p>
    <w:p w:rsidR="006B218B" w:rsidRDefault="000D2B42" w:rsidP="00142F14">
      <w:r>
        <w:tab/>
        <w:t>When Integrity requested information on the requirements to be included on the rotation, it received a list of requirements.  Believing it met each of the requirements, Integrity sued the City for an Equal Protection violation.</w:t>
      </w:r>
      <w:r>
        <w:rPr>
          <w:rStyle w:val="EndnoteReference"/>
        </w:rPr>
        <w:endnoteReference w:id="50"/>
      </w:r>
      <w:r>
        <w:t xml:space="preserve">  After conducting discovery in the litigation, Integrity contended that the requirements were not fully followed by the chief.  For example, one wrecker company that was placed on the list was supposedly beyond the distance requirement on the list sent to Integrity.</w:t>
      </w:r>
      <w:r>
        <w:rPr>
          <w:rStyle w:val="EndnoteReference"/>
        </w:rPr>
        <w:endnoteReference w:id="51"/>
      </w:r>
      <w:r w:rsidR="006B218B">
        <w:t xml:space="preserve">  Therefore, Integrity contended that the decision to keep it off the towing rotation was as “arbitrary” as the decision by the village in </w:t>
      </w:r>
      <w:r w:rsidR="006B218B">
        <w:rPr>
          <w:i/>
        </w:rPr>
        <w:t>Olech</w:t>
      </w:r>
      <w:r w:rsidR="006B218B">
        <w:t xml:space="preserve"> to demand a larger easement without a rational reason. However, the chief also </w:t>
      </w:r>
      <w:r w:rsidR="00460A41">
        <w:t xml:space="preserve">stated </w:t>
      </w:r>
      <w:r w:rsidR="006B218B">
        <w:t>that other factors, such as reputation and the ability to work together</w:t>
      </w:r>
      <w:r w:rsidR="00460A41">
        <w:t>,</w:t>
      </w:r>
      <w:r w:rsidR="006B218B">
        <w:t xml:space="preserve"> were important in his decision.</w:t>
      </w:r>
      <w:r w:rsidR="006B218B">
        <w:rPr>
          <w:rStyle w:val="EndnoteReference"/>
        </w:rPr>
        <w:endnoteReference w:id="52"/>
      </w:r>
      <w:r w:rsidR="006B218B">
        <w:t xml:space="preserve">  </w:t>
      </w:r>
    </w:p>
    <w:p w:rsidR="006B218B" w:rsidRDefault="006B218B" w:rsidP="006B218B">
      <w:r>
        <w:tab/>
      </w:r>
      <w:r w:rsidR="00B75F44">
        <w:t>T</w:t>
      </w:r>
      <w:r w:rsidR="00142F14">
        <w:t>he Fifth Circuit concluded that the City</w:t>
      </w:r>
      <w:r w:rsidR="001D5BE4">
        <w:t>’</w:t>
      </w:r>
      <w:r w:rsidR="00142F14">
        <w:t xml:space="preserve">s decision to purchase tow services from private companies involved the “same type of </w:t>
      </w:r>
      <w:r w:rsidR="001D5BE4">
        <w:t>‘</w:t>
      </w:r>
      <w:r w:rsidR="00142F14" w:rsidRPr="00142F14">
        <w:t>subjective, individualized assessments</w:t>
      </w:r>
      <w:r w:rsidR="001D5BE4">
        <w:t>’</w:t>
      </w:r>
      <w:r w:rsidR="00142F14" w:rsidRPr="00142F14">
        <w:t>”</w:t>
      </w:r>
      <w:r w:rsidR="00142F14">
        <w:t xml:space="preserve"> as the employment decisions in </w:t>
      </w:r>
      <w:r w:rsidR="00142F14">
        <w:rPr>
          <w:i/>
        </w:rPr>
        <w:t>Engquist</w:t>
      </w:r>
      <w:r w:rsidR="00142F14">
        <w:t>.</w:t>
      </w:r>
      <w:r w:rsidR="00142F14">
        <w:rPr>
          <w:rStyle w:val="EndnoteReference"/>
        </w:rPr>
        <w:endnoteReference w:id="53"/>
      </w:r>
      <w:r>
        <w:t xml:space="preserve">  The factors going into this decision include “f</w:t>
      </w:r>
      <w:r w:rsidRPr="006B218B">
        <w:t>actors that are not reasonably measurable, such as reputation, personal experience, and the particularities of how the city wishes to operate its non-consent tow program.</w:t>
      </w:r>
      <w:r>
        <w:t>”</w:t>
      </w:r>
      <w:r>
        <w:rPr>
          <w:rStyle w:val="EndnoteReference"/>
        </w:rPr>
        <w:endnoteReference w:id="54"/>
      </w:r>
    </w:p>
    <w:p w:rsidR="005F3849" w:rsidRDefault="005F3849" w:rsidP="006B218B">
      <w:r>
        <w:tab/>
        <w:t>The Fifth Circuit also discussed two additional issues illustrating potential limits to class of one litigations.  First, the decision to purchase towing services, like “</w:t>
      </w:r>
      <w:r w:rsidRPr="005F3849">
        <w:t>selecting other outside services, such as a janitorial or pest-control service</w:t>
      </w:r>
      <w:r>
        <w:t>,” is one that it would be “impractical for the court to involve itself in reviewing</w:t>
      </w:r>
      <w:r w:rsidR="00460A41">
        <w:t>”</w:t>
      </w:r>
      <w:r>
        <w:t xml:space="preserve"> because local governments make “countless discretionary decisions” in carrying out their daily business.</w:t>
      </w:r>
      <w:r>
        <w:rPr>
          <w:rStyle w:val="EndnoteReference"/>
        </w:rPr>
        <w:endnoteReference w:id="55"/>
      </w:r>
      <w:r>
        <w:t xml:space="preserve">  Quoting </w:t>
      </w:r>
      <w:r w:rsidRPr="005F3849">
        <w:rPr>
          <w:i/>
        </w:rPr>
        <w:t>En</w:t>
      </w:r>
      <w:r w:rsidR="009810ED">
        <w:rPr>
          <w:i/>
        </w:rPr>
        <w:t>g</w:t>
      </w:r>
      <w:r w:rsidRPr="005F3849">
        <w:rPr>
          <w:i/>
        </w:rPr>
        <w:t>quist</w:t>
      </w:r>
      <w:r>
        <w:t xml:space="preserve">, the Fifth Circuit stated, “The </w:t>
      </w:r>
      <w:r w:rsidRPr="005F3849">
        <w:t xml:space="preserve">Equal Protection Clause does not require </w:t>
      </w:r>
      <w:r w:rsidR="001D5BE4">
        <w:t>‘</w:t>
      </w:r>
      <w:r w:rsidRPr="005F3849">
        <w:t>[t]his displacement of managerial discretion by judicial supervision.</w:t>
      </w:r>
      <w:r w:rsidR="001D5BE4">
        <w:t>’</w:t>
      </w:r>
      <w:r w:rsidRPr="005F3849">
        <w:t>”</w:t>
      </w:r>
      <w:r>
        <w:rPr>
          <w:rStyle w:val="EndnoteReference"/>
        </w:rPr>
        <w:endnoteReference w:id="56"/>
      </w:r>
    </w:p>
    <w:p w:rsidR="00797312" w:rsidRPr="006B218B" w:rsidRDefault="00797312" w:rsidP="006B218B">
      <w:r>
        <w:tab/>
        <w:t>Second, the Fifth Circuit also discussed the necessary elements of proof for a class of one claim.  To show an Equal Protection violation, Integrity had to show that the City “</w:t>
      </w:r>
      <w:r w:rsidRPr="00797312">
        <w:t xml:space="preserve">treat[ed] similarly situated individuals differently </w:t>
      </w:r>
      <w:r w:rsidRPr="00797312">
        <w:rPr>
          <w:i/>
          <w:iCs/>
        </w:rPr>
        <w:t>for a discriminatory purpose</w:t>
      </w:r>
      <w:r>
        <w:t>.”</w:t>
      </w:r>
      <w:r>
        <w:rPr>
          <w:rStyle w:val="EndnoteReference"/>
        </w:rPr>
        <w:endnoteReference w:id="57"/>
      </w:r>
      <w:r>
        <w:t xml:space="preserve"> Discriminatory intent means that the decision was “</w:t>
      </w:r>
      <w:r w:rsidRPr="00797312">
        <w:t>made at least in part because of its discriminatory effect on Integrity</w:t>
      </w:r>
      <w:r>
        <w:t>”; it is insufficient to show “</w:t>
      </w:r>
      <w:r w:rsidRPr="00797312">
        <w:t>mere knowledge that adverse consequences will result.</w:t>
      </w:r>
      <w:r>
        <w:t>”</w:t>
      </w:r>
      <w:r>
        <w:rPr>
          <w:rStyle w:val="EndnoteReference"/>
        </w:rPr>
        <w:endnoteReference w:id="58"/>
      </w:r>
      <w:r w:rsidR="00052A32">
        <w:t xml:space="preserve">  In other words, </w:t>
      </w:r>
      <w:r w:rsidR="001F2AAC">
        <w:t xml:space="preserve">differential treatment </w:t>
      </w:r>
      <w:r w:rsidR="00052A32">
        <w:t xml:space="preserve">in favor of </w:t>
      </w:r>
      <w:r w:rsidR="001F2AAC">
        <w:t>someone</w:t>
      </w:r>
      <w:r w:rsidR="00052A32">
        <w:t xml:space="preserve"> else is not sufficient to show </w:t>
      </w:r>
      <w:r w:rsidR="001F2AAC">
        <w:t>discrimination</w:t>
      </w:r>
      <w:r w:rsidR="00052A32">
        <w:t xml:space="preserve"> against the </w:t>
      </w:r>
      <w:r w:rsidR="001F2AAC">
        <w:t>plaintiff</w:t>
      </w:r>
      <w:r w:rsidR="00052A32">
        <w:t xml:space="preserve"> in a class of one claim.</w:t>
      </w:r>
      <w:r w:rsidR="001F2AAC">
        <w:rPr>
          <w:rStyle w:val="EndnoteReference"/>
        </w:rPr>
        <w:endnoteReference w:id="59"/>
      </w:r>
      <w:r w:rsidR="00052A32">
        <w:t xml:space="preserve"> </w:t>
      </w:r>
    </w:p>
    <w:p w:rsidR="00CA1F94" w:rsidRDefault="001F2AAC" w:rsidP="008A1EDB">
      <w:r>
        <w:tab/>
        <w:t xml:space="preserve">Comparing </w:t>
      </w:r>
      <w:r>
        <w:rPr>
          <w:i/>
        </w:rPr>
        <w:t>Olech</w:t>
      </w:r>
      <w:r>
        <w:t xml:space="preserve"> with </w:t>
      </w:r>
      <w:r>
        <w:rPr>
          <w:i/>
        </w:rPr>
        <w:t>En</w:t>
      </w:r>
      <w:r w:rsidR="009810ED">
        <w:rPr>
          <w:i/>
        </w:rPr>
        <w:t>g</w:t>
      </w:r>
      <w:r>
        <w:rPr>
          <w:i/>
        </w:rPr>
        <w:t>quist</w:t>
      </w:r>
      <w:r>
        <w:t xml:space="preserve"> and </w:t>
      </w:r>
      <w:r>
        <w:rPr>
          <w:i/>
        </w:rPr>
        <w:t>Integrity</w:t>
      </w:r>
      <w:r>
        <w:t xml:space="preserve"> allows one to derive some general rules.  First, a class of one is much more likely to be successful when there is clear, objective standard that is generally applied but is not applied or applied differently in one case.</w:t>
      </w:r>
      <w:r w:rsidR="00763E77">
        <w:t xml:space="preserve">  In contrast, when the standard (or decision-making) is based upon a number of subjective and highly individualized assessments, it is, by its nature, not susceptible to applying to a large group of people equally.  Thus, for example, suppose that a city ordinance or resolution mandated the creation of towing list and set out objective factors for the police department to use when creating the rotation.  This hypothetical could result in a successful class of one claim: it is a clear</w:t>
      </w:r>
      <w:r w:rsidR="00835B53">
        <w:t>,</w:t>
      </w:r>
      <w:r w:rsidR="00763E77">
        <w:t xml:space="preserve"> objective standard </w:t>
      </w:r>
      <w:r w:rsidR="008A1EDB">
        <w:t>“</w:t>
      </w:r>
      <w:r w:rsidR="008A1EDB" w:rsidRPr="008A1EDB">
        <w:t>against which departures, even for a single plaintiff, could be readily assessed.</w:t>
      </w:r>
      <w:r w:rsidR="008A1EDB">
        <w:t>”</w:t>
      </w:r>
      <w:r w:rsidR="008A1EDB" w:rsidRPr="008A1EDB">
        <w:rPr>
          <w:vertAlign w:val="superscript"/>
        </w:rPr>
        <w:endnoteReference w:id="60"/>
      </w:r>
      <w:r w:rsidR="009810ED">
        <w:t xml:space="preserve">  </w:t>
      </w:r>
    </w:p>
    <w:p w:rsidR="004B1F87" w:rsidRPr="009810ED" w:rsidRDefault="00CA1F94" w:rsidP="008A1EDB">
      <w:r>
        <w:tab/>
      </w:r>
      <w:r w:rsidR="004B1F87">
        <w:t>In contrast, if a city</w:t>
      </w:r>
      <w:r w:rsidR="001D5BE4">
        <w:t>’</w:t>
      </w:r>
      <w:r w:rsidR="009810ED">
        <w:t>s</w:t>
      </w:r>
      <w:r w:rsidR="004B1F87">
        <w:t xml:space="preserve"> or police department</w:t>
      </w:r>
      <w:r w:rsidR="001D5BE4">
        <w:t>’</w:t>
      </w:r>
      <w:r w:rsidR="004B1F87">
        <w:t xml:space="preserve">s criteria involved </w:t>
      </w:r>
      <w:r w:rsidR="009810ED">
        <w:t xml:space="preserve">subjective criteria, such as reputation, or was subject to the sole discretion of city council or the chief of police, then under the rationale of </w:t>
      </w:r>
      <w:r w:rsidR="009810ED">
        <w:rPr>
          <w:i/>
        </w:rPr>
        <w:t>Engquist</w:t>
      </w:r>
      <w:r w:rsidR="009810ED">
        <w:t>, an inherently subjective and individualized determination is not subject to a class of one claim.</w:t>
      </w:r>
      <w:r>
        <w:t xml:space="preserve">  Whatever the criteria or procedures are adopted, they should be periodically reviewed and updated.</w:t>
      </w:r>
    </w:p>
    <w:p w:rsidR="008106D9" w:rsidRDefault="008A1EDB">
      <w:r>
        <w:tab/>
        <w:t xml:space="preserve">As a final caveat: not every </w:t>
      </w:r>
      <w:r w:rsidR="004353D4">
        <w:t>decision</w:t>
      </w:r>
      <w:r>
        <w:t xml:space="preserve"> by a local government enjoys unfettered discretion.  For example, statutes govern the bidding process for awarding a contract for the construction of public works</w:t>
      </w:r>
      <w:r>
        <w:rPr>
          <w:rStyle w:val="EndnoteReference"/>
        </w:rPr>
        <w:endnoteReference w:id="61"/>
      </w:r>
      <w:r w:rsidR="004353D4">
        <w:t xml:space="preserve"> and competitive bidding for certain purchase by local governments.</w:t>
      </w:r>
      <w:r w:rsidR="004353D4">
        <w:rPr>
          <w:rStyle w:val="EndnoteReference"/>
        </w:rPr>
        <w:endnoteReference w:id="62"/>
      </w:r>
    </w:p>
    <w:sectPr w:rsidR="008106D9">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91" w:rsidRDefault="001D0091" w:rsidP="00413040">
      <w:pPr>
        <w:spacing w:line="240" w:lineRule="auto"/>
      </w:pPr>
      <w:r>
        <w:separator/>
      </w:r>
    </w:p>
  </w:endnote>
  <w:endnote w:type="continuationSeparator" w:id="0">
    <w:p w:rsidR="001D0091" w:rsidRDefault="001D0091" w:rsidP="00413040">
      <w:pPr>
        <w:spacing w:line="240" w:lineRule="auto"/>
      </w:pPr>
      <w:r>
        <w:continuationSeparator/>
      </w:r>
    </w:p>
  </w:endnote>
  <w:endnote w:id="1">
    <w:p w:rsidR="00C972A0" w:rsidRDefault="00C972A0" w:rsidP="004B1F87">
      <w:pPr>
        <w:pStyle w:val="EndnoteText"/>
        <w:spacing w:after="120"/>
      </w:pPr>
      <w:r>
        <w:rPr>
          <w:rStyle w:val="EndnoteReference"/>
        </w:rPr>
        <w:endnoteRef/>
      </w:r>
      <w:r>
        <w:t xml:space="preserve"> U.S. </w:t>
      </w:r>
      <w:r>
        <w:rPr>
          <w:smallCaps/>
        </w:rPr>
        <w:t>Const</w:t>
      </w:r>
      <w:r>
        <w:t>. amend XIV, § 1.</w:t>
      </w:r>
    </w:p>
  </w:endnote>
  <w:endnote w:id="2">
    <w:p w:rsidR="00D9378C" w:rsidRDefault="00D9378C" w:rsidP="004B1F87">
      <w:pPr>
        <w:pStyle w:val="EndnoteText"/>
        <w:spacing w:after="120"/>
      </w:pPr>
      <w:r>
        <w:rPr>
          <w:rStyle w:val="EndnoteReference"/>
        </w:rPr>
        <w:endnoteRef/>
      </w:r>
      <w:r>
        <w:t xml:space="preserve"> “</w:t>
      </w:r>
      <w:r w:rsidRPr="00D9378C">
        <w:t xml:space="preserve">Although the Fifth Amendment, unlike the Fourteenth, does not contain an equal protection clause, it does contain an equal protection component. </w:t>
      </w:r>
      <w:r w:rsidR="001D5BE4">
        <w:t>‘</w:t>
      </w:r>
      <w:r w:rsidRPr="00D9378C">
        <w:t>[Our] approach to Fifth Amendment equal protection claims has ... been precisely the same as to equal protection claims under the Fourteenth Amendment.</w:t>
      </w:r>
      <w:r w:rsidR="001D5BE4">
        <w:t>’</w:t>
      </w:r>
      <w:r>
        <w:t xml:space="preserve">” </w:t>
      </w:r>
      <w:r w:rsidRPr="00D9378C">
        <w:rPr>
          <w:i/>
          <w:iCs/>
        </w:rPr>
        <w:t>Wayte v. United States</w:t>
      </w:r>
      <w:r w:rsidRPr="00D9378C">
        <w:t>, 470 U.S. 598, 608 (1985)</w:t>
      </w:r>
      <w:r>
        <w:t xml:space="preserve"> (citations omitted).  The Fourteenth Amendment applies to the states, but the equal protection component of the Fifth Amendment applies dire</w:t>
      </w:r>
      <w:r w:rsidR="004B1F87">
        <w:t>ctly to the federal government.</w:t>
      </w:r>
    </w:p>
  </w:endnote>
  <w:endnote w:id="3">
    <w:p w:rsidR="00413040" w:rsidRDefault="00413040" w:rsidP="004B1F87">
      <w:pPr>
        <w:pStyle w:val="EndnoteText"/>
        <w:spacing w:after="120"/>
      </w:pPr>
      <w:r>
        <w:rPr>
          <w:rStyle w:val="EndnoteReference"/>
        </w:rPr>
        <w:endnoteRef/>
      </w:r>
      <w:r>
        <w:t xml:space="preserve"> </w:t>
      </w:r>
      <w:r w:rsidRPr="002E0386">
        <w:rPr>
          <w:i/>
          <w:iCs/>
        </w:rPr>
        <w:t>City of Cleburne, Tex. v. Cleburne Living Ctr.</w:t>
      </w:r>
      <w:r w:rsidRPr="002E0386">
        <w:t>, 473 U.S. 432, 439</w:t>
      </w:r>
      <w:r w:rsidR="00835B53">
        <w:t xml:space="preserve"> </w:t>
      </w:r>
      <w:r w:rsidRPr="002E0386">
        <w:t>(1985)</w:t>
      </w:r>
      <w:r w:rsidR="00835B53">
        <w:t>.</w:t>
      </w:r>
    </w:p>
  </w:endnote>
  <w:endnote w:id="4">
    <w:p w:rsidR="00413040" w:rsidRDefault="00413040" w:rsidP="004B1F87">
      <w:pPr>
        <w:pStyle w:val="EndnoteText"/>
        <w:spacing w:after="120"/>
      </w:pPr>
      <w:r>
        <w:rPr>
          <w:rStyle w:val="EndnoteReference"/>
        </w:rPr>
        <w:endnoteRef/>
      </w:r>
      <w:r>
        <w:t xml:space="preserve"> In addition to these classifications, a State law that impinges on a fundamental right is subject to “strict scrutiny” review.  Fundamental rights include</w:t>
      </w:r>
      <w:r w:rsidR="00C8765A">
        <w:t>, among others</w:t>
      </w:r>
      <w:r>
        <w:t xml:space="preserve">: the </w:t>
      </w:r>
      <w:r w:rsidRPr="00FA3F1E">
        <w:t xml:space="preserve">right to vote, </w:t>
      </w:r>
      <w:r>
        <w:t xml:space="preserve">the </w:t>
      </w:r>
      <w:r w:rsidRPr="00FA3F1E">
        <w:t>right of interstate travel, and rights guaranteed by the First Amendment</w:t>
      </w:r>
      <w:r>
        <w:t xml:space="preserve">.  </w:t>
      </w:r>
      <w:r>
        <w:rPr>
          <w:i/>
        </w:rPr>
        <w:t>See, e.g.</w:t>
      </w:r>
      <w:r>
        <w:t xml:space="preserve">, </w:t>
      </w:r>
      <w:r w:rsidRPr="00DD5E1D">
        <w:rPr>
          <w:i/>
          <w:iCs/>
        </w:rPr>
        <w:t>Police Dept. of City of Chicago v. Mosley</w:t>
      </w:r>
      <w:r w:rsidRPr="00DD5E1D">
        <w:t>, 408 U.S. 92, 102 (1972)</w:t>
      </w:r>
      <w:r>
        <w:t xml:space="preserve"> (Chicago ordinance that treated picketers differently based on the subject of the picket required to meat strict scrutiny).</w:t>
      </w:r>
    </w:p>
  </w:endnote>
  <w:endnote w:id="5">
    <w:p w:rsidR="00413040" w:rsidRDefault="00413040" w:rsidP="004B1F87">
      <w:pPr>
        <w:pStyle w:val="EndnoteText"/>
        <w:spacing w:after="120"/>
      </w:pPr>
      <w:r>
        <w:rPr>
          <w:rStyle w:val="EndnoteReference"/>
        </w:rPr>
        <w:endnoteRef/>
      </w:r>
      <w:r>
        <w:t xml:space="preserve"> </w:t>
      </w:r>
      <w:r w:rsidRPr="00AE2ED6">
        <w:rPr>
          <w:i/>
          <w:iCs/>
        </w:rPr>
        <w:t>City of Cleburne</w:t>
      </w:r>
      <w:r w:rsidRPr="00AE2ED6">
        <w:t xml:space="preserve">, 473 U.S. </w:t>
      </w:r>
      <w:r w:rsidR="00835B53">
        <w:t>at</w:t>
      </w:r>
      <w:r w:rsidRPr="00AE2ED6">
        <w:t xml:space="preserve"> 440</w:t>
      </w:r>
      <w:r w:rsidR="00835B53">
        <w:t>.</w:t>
      </w:r>
    </w:p>
  </w:endnote>
  <w:endnote w:id="6">
    <w:p w:rsidR="00413040" w:rsidRDefault="00413040" w:rsidP="004B1F87">
      <w:pPr>
        <w:pStyle w:val="EndnoteText"/>
        <w:spacing w:after="120"/>
      </w:pPr>
      <w:r>
        <w:rPr>
          <w:rStyle w:val="EndnoteReference"/>
        </w:rPr>
        <w:endnoteRef/>
      </w:r>
      <w:r>
        <w:t xml:space="preserve"> </w:t>
      </w:r>
      <w:r w:rsidRPr="00AE2ED6">
        <w:rPr>
          <w:i/>
          <w:iCs/>
        </w:rPr>
        <w:t>Grutter v. Bollinger</w:t>
      </w:r>
      <w:r w:rsidRPr="00AE2ED6">
        <w:t>, 539 U.S. 306, 326 (2003)</w:t>
      </w:r>
      <w:r w:rsidR="00E90483">
        <w:t>.</w:t>
      </w:r>
    </w:p>
  </w:endnote>
  <w:endnote w:id="7">
    <w:p w:rsidR="00413040" w:rsidRDefault="00413040" w:rsidP="004B1F87">
      <w:pPr>
        <w:pStyle w:val="EndnoteText"/>
        <w:spacing w:after="120"/>
      </w:pPr>
      <w:r>
        <w:rPr>
          <w:rStyle w:val="EndnoteReference"/>
        </w:rPr>
        <w:endnoteRef/>
      </w:r>
      <w:r>
        <w:t xml:space="preserve"> </w:t>
      </w:r>
      <w:r w:rsidRPr="00BF3D7F">
        <w:rPr>
          <w:i/>
        </w:rPr>
        <w:t>United States v. Virginia</w:t>
      </w:r>
      <w:r>
        <w:t>, 518 U.S. 515, 533</w:t>
      </w:r>
      <w:r w:rsidR="009E36B3">
        <w:t xml:space="preserve"> </w:t>
      </w:r>
      <w:r>
        <w:t>(1996)</w:t>
      </w:r>
      <w:r w:rsidR="00E90483">
        <w:t>.</w:t>
      </w:r>
    </w:p>
  </w:endnote>
  <w:endnote w:id="8">
    <w:p w:rsidR="00C8765A" w:rsidRDefault="00B33034" w:rsidP="004B1F87">
      <w:pPr>
        <w:pStyle w:val="EndnoteText"/>
        <w:spacing w:after="120"/>
      </w:pPr>
      <w:r>
        <w:rPr>
          <w:rStyle w:val="EndnoteReference"/>
        </w:rPr>
        <w:endnoteRef/>
      </w:r>
      <w:r>
        <w:t xml:space="preserve"> </w:t>
      </w:r>
      <w:r w:rsidRPr="00B33034">
        <w:rPr>
          <w:i/>
          <w:iCs/>
        </w:rPr>
        <w:t>Heller v. Doe</w:t>
      </w:r>
      <w:r w:rsidRPr="00B33034">
        <w:t>, 509 U.S. 312, 320 (1993).</w:t>
      </w:r>
      <w:r w:rsidR="004B1F87">
        <w:t xml:space="preserve"> </w:t>
      </w:r>
    </w:p>
  </w:endnote>
  <w:endnote w:id="9">
    <w:p w:rsidR="00413040" w:rsidRDefault="00413040" w:rsidP="004B1F87">
      <w:pPr>
        <w:pStyle w:val="EndnoteText"/>
        <w:spacing w:after="120"/>
      </w:pPr>
      <w:r>
        <w:rPr>
          <w:rStyle w:val="EndnoteReference"/>
        </w:rPr>
        <w:endnoteRef/>
      </w:r>
      <w:r>
        <w:t xml:space="preserve"> </w:t>
      </w:r>
      <w:r w:rsidRPr="002A18A5">
        <w:t>42 U.S.C. § 2000e-2(a).</w:t>
      </w:r>
    </w:p>
  </w:endnote>
  <w:endnote w:id="10">
    <w:p w:rsidR="00413040" w:rsidRDefault="00413040" w:rsidP="004B1F87">
      <w:pPr>
        <w:pStyle w:val="EndnoteText"/>
        <w:spacing w:after="120"/>
      </w:pPr>
      <w:r>
        <w:rPr>
          <w:rStyle w:val="EndnoteReference"/>
        </w:rPr>
        <w:endnoteRef/>
      </w:r>
      <w:r>
        <w:t xml:space="preserve"> </w:t>
      </w:r>
      <w:r>
        <w:rPr>
          <w:i/>
        </w:rPr>
        <w:t xml:space="preserve">See, generally, </w:t>
      </w:r>
      <w:r w:rsidRPr="00563D0D">
        <w:rPr>
          <w:i/>
          <w:iCs/>
        </w:rPr>
        <w:t>McDonnell Douglas Corp. v. Green</w:t>
      </w:r>
      <w:r w:rsidRPr="00563D0D">
        <w:t>, 411 U.S. 792 (1973)</w:t>
      </w:r>
      <w:r>
        <w:t>.  (PLEASE NOTE: this is a generalized statement.  The particular facts and form of alleged discrimination can affect the employee</w:t>
      </w:r>
      <w:r w:rsidR="001D5BE4">
        <w:t>’</w:t>
      </w:r>
      <w:r>
        <w:t>s burden</w:t>
      </w:r>
      <w:r w:rsidR="00C8765A">
        <w:t xml:space="preserve"> in a given case</w:t>
      </w:r>
      <w:r>
        <w:t xml:space="preserve">.)  </w:t>
      </w:r>
    </w:p>
  </w:endnote>
  <w:endnote w:id="11">
    <w:p w:rsidR="00E90483" w:rsidRDefault="00E90483" w:rsidP="004B1F87">
      <w:pPr>
        <w:pStyle w:val="EndnoteText"/>
        <w:spacing w:after="120"/>
      </w:pPr>
      <w:r>
        <w:rPr>
          <w:rStyle w:val="EndnoteReference"/>
        </w:rPr>
        <w:endnoteRef/>
      </w:r>
      <w:r>
        <w:t xml:space="preserve"> </w:t>
      </w:r>
      <w:r w:rsidRPr="00E90483">
        <w:rPr>
          <w:i/>
          <w:iCs/>
        </w:rPr>
        <w:t>Adarand Constructors, Inc. v. Pena</w:t>
      </w:r>
      <w:r w:rsidRPr="00E90483">
        <w:t>, 515 U.S. 200, 227 (1995)</w:t>
      </w:r>
      <w:r>
        <w:t>.</w:t>
      </w:r>
    </w:p>
  </w:endnote>
  <w:endnote w:id="12">
    <w:p w:rsidR="006307D5" w:rsidRDefault="006307D5" w:rsidP="004B1F87">
      <w:pPr>
        <w:pStyle w:val="EndnoteText"/>
        <w:spacing w:after="120"/>
      </w:pPr>
      <w:r>
        <w:rPr>
          <w:rStyle w:val="EndnoteReference"/>
        </w:rPr>
        <w:endnoteRef/>
      </w:r>
      <w:r>
        <w:t xml:space="preserve"> </w:t>
      </w:r>
      <w:r w:rsidRPr="006307D5">
        <w:rPr>
          <w:i/>
          <w:iCs/>
        </w:rPr>
        <w:t>Vill. of Willowbrook v. Olech</w:t>
      </w:r>
      <w:r w:rsidRPr="006307D5">
        <w:t>, 528 U.S. 562, 563 (2000)</w:t>
      </w:r>
      <w:r>
        <w:t>.</w:t>
      </w:r>
    </w:p>
  </w:endnote>
  <w:endnote w:id="13">
    <w:p w:rsidR="009E36B3" w:rsidRPr="006307D5" w:rsidRDefault="006307D5" w:rsidP="004B1F87">
      <w:pPr>
        <w:pStyle w:val="EndnoteText"/>
        <w:spacing w:after="120"/>
      </w:pPr>
      <w:r>
        <w:rPr>
          <w:rStyle w:val="EndnoteReference"/>
        </w:rPr>
        <w:endnoteRef/>
      </w:r>
      <w:r>
        <w:t xml:space="preserve"> </w:t>
      </w:r>
      <w:r>
        <w:rPr>
          <w:i/>
        </w:rPr>
        <w:t>Id.</w:t>
      </w:r>
    </w:p>
  </w:endnote>
  <w:endnote w:id="14">
    <w:p w:rsidR="006154FC" w:rsidRPr="006154FC" w:rsidRDefault="006154FC" w:rsidP="004B1F87">
      <w:pPr>
        <w:pStyle w:val="EndnoteText"/>
        <w:spacing w:after="120"/>
        <w:rPr>
          <w:i/>
        </w:rPr>
      </w:pPr>
      <w:r>
        <w:rPr>
          <w:rStyle w:val="EndnoteReference"/>
        </w:rPr>
        <w:endnoteRef/>
      </w:r>
      <w:r>
        <w:t xml:space="preserve"> </w:t>
      </w:r>
      <w:r>
        <w:rPr>
          <w:i/>
        </w:rPr>
        <w:t>Id.</w:t>
      </w:r>
    </w:p>
  </w:endnote>
  <w:endnote w:id="15">
    <w:p w:rsidR="006154FC" w:rsidRDefault="006154FC" w:rsidP="004B1F87">
      <w:pPr>
        <w:pStyle w:val="EndnoteText"/>
        <w:spacing w:after="120"/>
      </w:pPr>
      <w:r>
        <w:rPr>
          <w:rStyle w:val="EndnoteReference"/>
        </w:rPr>
        <w:endnoteRef/>
      </w:r>
      <w:r>
        <w:t xml:space="preserve"> </w:t>
      </w:r>
      <w:r w:rsidR="009E36B3">
        <w:rPr>
          <w:i/>
          <w:iCs/>
        </w:rPr>
        <w:t>Id.</w:t>
      </w:r>
      <w:r w:rsidR="009E36B3">
        <w:rPr>
          <w:iCs/>
        </w:rPr>
        <w:t xml:space="preserve"> at </w:t>
      </w:r>
      <w:r w:rsidR="009E36B3">
        <w:t>563–64.</w:t>
      </w:r>
    </w:p>
  </w:endnote>
  <w:endnote w:id="16">
    <w:p w:rsidR="004443E2" w:rsidRDefault="004443E2" w:rsidP="004B1F87">
      <w:pPr>
        <w:pStyle w:val="EndnoteText"/>
        <w:spacing w:after="120"/>
      </w:pPr>
      <w:r>
        <w:rPr>
          <w:rStyle w:val="EndnoteReference"/>
        </w:rPr>
        <w:endnoteRef/>
      </w:r>
      <w:r>
        <w:t xml:space="preserve"> </w:t>
      </w:r>
      <w:r w:rsidRPr="004443E2">
        <w:rPr>
          <w:i/>
          <w:iCs/>
        </w:rPr>
        <w:t>Olech v. Vill. of Willowbrook</w:t>
      </w:r>
      <w:r w:rsidRPr="004443E2">
        <w:t xml:space="preserve">, 160 F.3d 386, 388 (7th Cir. 1998), </w:t>
      </w:r>
      <w:r w:rsidRPr="004443E2">
        <w:rPr>
          <w:i/>
          <w:iCs/>
        </w:rPr>
        <w:t>aff</w:t>
      </w:r>
      <w:r w:rsidR="001D5BE4">
        <w:rPr>
          <w:i/>
          <w:iCs/>
        </w:rPr>
        <w:t>’</w:t>
      </w:r>
      <w:r w:rsidRPr="004443E2">
        <w:rPr>
          <w:i/>
          <w:iCs/>
        </w:rPr>
        <w:t>d,</w:t>
      </w:r>
      <w:r w:rsidRPr="004443E2">
        <w:t xml:space="preserve"> 528 U.S. 562, 120 S. Ct. 1073, 145 L. Ed. 2d 1060 (2000)</w:t>
      </w:r>
      <w:r w:rsidR="009E36B3">
        <w:t>.</w:t>
      </w:r>
    </w:p>
  </w:endnote>
  <w:endnote w:id="17">
    <w:p w:rsidR="004443E2" w:rsidRDefault="004443E2" w:rsidP="004B1F87">
      <w:pPr>
        <w:pStyle w:val="EndnoteText"/>
        <w:spacing w:after="120"/>
      </w:pPr>
      <w:r>
        <w:rPr>
          <w:rStyle w:val="EndnoteReference"/>
        </w:rPr>
        <w:endnoteRef/>
      </w:r>
      <w:r>
        <w:t xml:space="preserve"> </w:t>
      </w:r>
      <w:r w:rsidR="009E36B3">
        <w:rPr>
          <w:i/>
          <w:iCs/>
        </w:rPr>
        <w:t>Id.</w:t>
      </w:r>
      <w:r w:rsidR="009E36B3">
        <w:rPr>
          <w:iCs/>
        </w:rPr>
        <w:t xml:space="preserve"> at </w:t>
      </w:r>
      <w:r w:rsidRPr="004443E2">
        <w:t>387</w:t>
      </w:r>
      <w:r w:rsidR="009E36B3">
        <w:t>.</w:t>
      </w:r>
    </w:p>
  </w:endnote>
  <w:endnote w:id="18">
    <w:p w:rsidR="004443E2" w:rsidRPr="004443E2" w:rsidRDefault="004443E2" w:rsidP="004B1F87">
      <w:pPr>
        <w:pStyle w:val="EndnoteText"/>
        <w:spacing w:after="120"/>
      </w:pPr>
      <w:r>
        <w:rPr>
          <w:rStyle w:val="EndnoteReference"/>
        </w:rPr>
        <w:endnoteRef/>
      </w:r>
      <w:r>
        <w:t xml:space="preserve"> </w:t>
      </w:r>
      <w:r>
        <w:rPr>
          <w:i/>
        </w:rPr>
        <w:t>Id.</w:t>
      </w:r>
    </w:p>
  </w:endnote>
  <w:endnote w:id="19">
    <w:p w:rsidR="00EC7C94" w:rsidRDefault="00EC7C94" w:rsidP="004B1F87">
      <w:pPr>
        <w:pStyle w:val="EndnoteText"/>
        <w:spacing w:after="120"/>
      </w:pPr>
      <w:r>
        <w:rPr>
          <w:rStyle w:val="EndnoteReference"/>
        </w:rPr>
        <w:endnoteRef/>
      </w:r>
      <w:r>
        <w:t xml:space="preserve"> </w:t>
      </w:r>
      <w:r w:rsidR="009E36B3">
        <w:rPr>
          <w:i/>
        </w:rPr>
        <w:t>Id.</w:t>
      </w:r>
      <w:r w:rsidR="009E36B3">
        <w:t xml:space="preserve"> at 388.</w:t>
      </w:r>
    </w:p>
  </w:endnote>
  <w:endnote w:id="20">
    <w:p w:rsidR="00EC7C94" w:rsidRDefault="00EC7C94" w:rsidP="004B1F87">
      <w:pPr>
        <w:pStyle w:val="EndnoteText"/>
        <w:spacing w:after="120"/>
      </w:pPr>
      <w:r>
        <w:rPr>
          <w:rStyle w:val="EndnoteReference"/>
        </w:rPr>
        <w:endnoteRef/>
      </w:r>
      <w:r>
        <w:t xml:space="preserve"> </w:t>
      </w:r>
      <w:r w:rsidR="004B1F87">
        <w:rPr>
          <w:i/>
          <w:iCs/>
        </w:rPr>
        <w:t>Id.</w:t>
      </w:r>
    </w:p>
  </w:endnote>
  <w:endnote w:id="21">
    <w:p w:rsidR="00EC02BF" w:rsidRDefault="00EC02BF" w:rsidP="004B1F87">
      <w:pPr>
        <w:pStyle w:val="EndnoteText"/>
        <w:spacing w:after="120"/>
      </w:pPr>
      <w:r>
        <w:rPr>
          <w:rStyle w:val="EndnoteReference"/>
        </w:rPr>
        <w:endnoteRef/>
      </w:r>
      <w:r>
        <w:t xml:space="preserve"> </w:t>
      </w:r>
      <w:r w:rsidRPr="00EC02BF">
        <w:rPr>
          <w:i/>
          <w:iCs/>
        </w:rPr>
        <w:t>Olech</w:t>
      </w:r>
      <w:r w:rsidRPr="00EC02BF">
        <w:t xml:space="preserve">, 528 U.S. </w:t>
      </w:r>
      <w:r w:rsidR="007D0726">
        <w:t>at</w:t>
      </w:r>
      <w:r w:rsidRPr="00EC02BF">
        <w:t xml:space="preserve"> 564</w:t>
      </w:r>
      <w:r w:rsidR="007D0726">
        <w:t xml:space="preserve">. </w:t>
      </w:r>
    </w:p>
  </w:endnote>
  <w:endnote w:id="22">
    <w:p w:rsidR="00F11316" w:rsidRDefault="00F11316" w:rsidP="004B1F87">
      <w:pPr>
        <w:pStyle w:val="EndnoteText"/>
        <w:spacing w:after="120"/>
      </w:pPr>
      <w:r>
        <w:rPr>
          <w:rStyle w:val="EndnoteReference"/>
        </w:rPr>
        <w:endnoteRef/>
      </w:r>
      <w:r>
        <w:t xml:space="preserve"> </w:t>
      </w:r>
      <w:r w:rsidR="007D0726">
        <w:rPr>
          <w:i/>
        </w:rPr>
        <w:t>Id.</w:t>
      </w:r>
      <w:r w:rsidR="007D0726">
        <w:t xml:space="preserve"> at 565.</w:t>
      </w:r>
    </w:p>
  </w:endnote>
  <w:endnote w:id="23">
    <w:p w:rsidR="00F11316" w:rsidRDefault="00F11316" w:rsidP="004B1F87">
      <w:pPr>
        <w:pStyle w:val="EndnoteText"/>
        <w:spacing w:after="120"/>
      </w:pPr>
      <w:r>
        <w:rPr>
          <w:rStyle w:val="EndnoteReference"/>
        </w:rPr>
        <w:endnoteRef/>
      </w:r>
      <w:r>
        <w:t xml:space="preserve"> </w:t>
      </w:r>
      <w:r w:rsidR="007D0726">
        <w:rPr>
          <w:i/>
        </w:rPr>
        <w:t>Id.</w:t>
      </w:r>
      <w:r w:rsidR="007D0726">
        <w:t xml:space="preserve"> at 564.</w:t>
      </w:r>
    </w:p>
  </w:endnote>
  <w:endnote w:id="24">
    <w:p w:rsidR="00720465" w:rsidRDefault="00720465" w:rsidP="004B1F87">
      <w:pPr>
        <w:pStyle w:val="EndnoteText"/>
        <w:spacing w:after="120"/>
      </w:pPr>
      <w:r>
        <w:rPr>
          <w:rStyle w:val="EndnoteReference"/>
        </w:rPr>
        <w:endnoteRef/>
      </w:r>
      <w:r>
        <w:t xml:space="preserve"> </w:t>
      </w:r>
      <w:r w:rsidR="007D0726">
        <w:rPr>
          <w:i/>
        </w:rPr>
        <w:t>Id.</w:t>
      </w:r>
      <w:r w:rsidR="007D0726">
        <w:t xml:space="preserve"> at 566</w:t>
      </w:r>
      <w:r>
        <w:t xml:space="preserve"> (Breyer, J., concurring).</w:t>
      </w:r>
    </w:p>
  </w:endnote>
  <w:endnote w:id="25">
    <w:p w:rsidR="0026381C" w:rsidRDefault="0026381C" w:rsidP="004B1F87">
      <w:pPr>
        <w:pStyle w:val="EndnoteText"/>
        <w:spacing w:after="120"/>
      </w:pPr>
      <w:r>
        <w:rPr>
          <w:rStyle w:val="EndnoteReference"/>
        </w:rPr>
        <w:endnoteRef/>
      </w:r>
      <w:r>
        <w:t xml:space="preserve"> </w:t>
      </w:r>
      <w:r w:rsidRPr="0026381C">
        <w:rPr>
          <w:i/>
          <w:iCs/>
        </w:rPr>
        <w:t>Engquist v. Oregon Dep</w:t>
      </w:r>
      <w:r w:rsidR="001D5BE4">
        <w:rPr>
          <w:i/>
          <w:iCs/>
        </w:rPr>
        <w:t>’</w:t>
      </w:r>
      <w:r w:rsidRPr="0026381C">
        <w:rPr>
          <w:i/>
          <w:iCs/>
        </w:rPr>
        <w:t>t of Agr.</w:t>
      </w:r>
      <w:r w:rsidRPr="0026381C">
        <w:t>, 553 U.S. 591, 594 (2008).</w:t>
      </w:r>
    </w:p>
  </w:endnote>
  <w:endnote w:id="26">
    <w:p w:rsidR="00A770DF" w:rsidRDefault="00A770DF" w:rsidP="004B1F87">
      <w:pPr>
        <w:pStyle w:val="EndnoteText"/>
        <w:spacing w:after="120"/>
      </w:pPr>
      <w:r>
        <w:rPr>
          <w:rStyle w:val="EndnoteReference"/>
        </w:rPr>
        <w:endnoteRef/>
      </w:r>
      <w:r>
        <w:t xml:space="preserve"> </w:t>
      </w:r>
      <w:r w:rsidR="007D0726">
        <w:rPr>
          <w:i/>
        </w:rPr>
        <w:t>Id.</w:t>
      </w:r>
      <w:r w:rsidR="007D0726">
        <w:t xml:space="preserve"> </w:t>
      </w:r>
    </w:p>
  </w:endnote>
  <w:endnote w:id="27">
    <w:p w:rsidR="005D60C3" w:rsidRPr="005D60C3" w:rsidRDefault="005D60C3" w:rsidP="004B1F87">
      <w:pPr>
        <w:pStyle w:val="EndnoteText"/>
        <w:spacing w:after="120"/>
        <w:rPr>
          <w:i/>
        </w:rPr>
      </w:pPr>
      <w:r>
        <w:rPr>
          <w:rStyle w:val="EndnoteReference"/>
        </w:rPr>
        <w:endnoteRef/>
      </w:r>
      <w:r>
        <w:t xml:space="preserve"> </w:t>
      </w:r>
      <w:r>
        <w:rPr>
          <w:i/>
        </w:rPr>
        <w:t>Id.</w:t>
      </w:r>
    </w:p>
  </w:endnote>
  <w:endnote w:id="28">
    <w:p w:rsidR="005D60C3" w:rsidRPr="005D60C3" w:rsidRDefault="005D60C3" w:rsidP="004B1F87">
      <w:pPr>
        <w:pStyle w:val="EndnoteText"/>
        <w:spacing w:after="120"/>
      </w:pPr>
      <w:r>
        <w:rPr>
          <w:rStyle w:val="EndnoteReference"/>
        </w:rPr>
        <w:endnoteRef/>
      </w:r>
      <w:r>
        <w:t xml:space="preserve"> </w:t>
      </w:r>
      <w:r>
        <w:rPr>
          <w:i/>
        </w:rPr>
        <w:t>Id.</w:t>
      </w:r>
    </w:p>
  </w:endnote>
  <w:endnote w:id="29">
    <w:p w:rsidR="00E47EDF" w:rsidRPr="00E47EDF" w:rsidRDefault="00E47EDF" w:rsidP="004B1F87">
      <w:pPr>
        <w:pStyle w:val="EndnoteText"/>
        <w:spacing w:after="120"/>
        <w:rPr>
          <w:i/>
        </w:rPr>
      </w:pPr>
      <w:r>
        <w:rPr>
          <w:rStyle w:val="EndnoteReference"/>
        </w:rPr>
        <w:endnoteRef/>
      </w:r>
      <w:r>
        <w:t xml:space="preserve"> </w:t>
      </w:r>
      <w:r>
        <w:rPr>
          <w:i/>
        </w:rPr>
        <w:t>Id.</w:t>
      </w:r>
    </w:p>
  </w:endnote>
  <w:endnote w:id="30">
    <w:p w:rsidR="00E47EDF" w:rsidRDefault="00E47EDF" w:rsidP="004B1F87">
      <w:pPr>
        <w:pStyle w:val="EndnoteText"/>
        <w:spacing w:after="120"/>
      </w:pPr>
      <w:r>
        <w:rPr>
          <w:rStyle w:val="EndnoteReference"/>
        </w:rPr>
        <w:endnoteRef/>
      </w:r>
      <w:r>
        <w:t xml:space="preserve"> </w:t>
      </w:r>
      <w:r w:rsidR="007D0726">
        <w:rPr>
          <w:i/>
        </w:rPr>
        <w:t>Id.</w:t>
      </w:r>
      <w:r w:rsidR="007D0726">
        <w:t xml:space="preserve"> at 594–95.</w:t>
      </w:r>
    </w:p>
  </w:endnote>
  <w:endnote w:id="31">
    <w:p w:rsidR="00B6181C" w:rsidRDefault="00B6181C" w:rsidP="004B1F87">
      <w:pPr>
        <w:pStyle w:val="EndnoteText"/>
        <w:spacing w:after="120"/>
      </w:pPr>
      <w:r>
        <w:rPr>
          <w:rStyle w:val="EndnoteReference"/>
        </w:rPr>
        <w:endnoteRef/>
      </w:r>
      <w:r>
        <w:t xml:space="preserve"> </w:t>
      </w:r>
      <w:r w:rsidR="007D0726">
        <w:rPr>
          <w:i/>
        </w:rPr>
        <w:t>Id.</w:t>
      </w:r>
      <w:r w:rsidR="007D0726">
        <w:t xml:space="preserve"> at 595.</w:t>
      </w:r>
    </w:p>
  </w:endnote>
  <w:endnote w:id="32">
    <w:p w:rsidR="00B6181C" w:rsidRPr="00B6181C" w:rsidRDefault="00B6181C" w:rsidP="004B1F87">
      <w:pPr>
        <w:pStyle w:val="EndnoteText"/>
        <w:spacing w:after="120"/>
        <w:rPr>
          <w:i/>
        </w:rPr>
      </w:pPr>
      <w:r>
        <w:rPr>
          <w:rStyle w:val="EndnoteReference"/>
        </w:rPr>
        <w:endnoteRef/>
      </w:r>
      <w:r>
        <w:t xml:space="preserve"> </w:t>
      </w:r>
      <w:r>
        <w:rPr>
          <w:i/>
        </w:rPr>
        <w:t>Id.</w:t>
      </w:r>
    </w:p>
  </w:endnote>
  <w:endnote w:id="33">
    <w:p w:rsidR="00B6181C" w:rsidRDefault="00B6181C" w:rsidP="004B1F87">
      <w:pPr>
        <w:pStyle w:val="EndnoteText"/>
        <w:spacing w:after="120"/>
      </w:pPr>
      <w:r>
        <w:rPr>
          <w:rStyle w:val="EndnoteReference"/>
        </w:rPr>
        <w:endnoteRef/>
      </w:r>
      <w:r>
        <w:t xml:space="preserve"> </w:t>
      </w:r>
      <w:r w:rsidR="007D0726">
        <w:rPr>
          <w:i/>
        </w:rPr>
        <w:t>Id.</w:t>
      </w:r>
      <w:r w:rsidR="007D0726">
        <w:t xml:space="preserve"> at 597.</w:t>
      </w:r>
    </w:p>
  </w:endnote>
  <w:endnote w:id="34">
    <w:p w:rsidR="00750A2D" w:rsidRDefault="00750A2D" w:rsidP="004B1F87">
      <w:pPr>
        <w:pStyle w:val="EndnoteText"/>
        <w:spacing w:after="120"/>
      </w:pPr>
      <w:r>
        <w:rPr>
          <w:rStyle w:val="EndnoteReference"/>
        </w:rPr>
        <w:endnoteRef/>
      </w:r>
      <w:r>
        <w:t xml:space="preserve"> </w:t>
      </w:r>
      <w:r w:rsidR="007D0726">
        <w:rPr>
          <w:i/>
        </w:rPr>
        <w:t xml:space="preserve">Id. </w:t>
      </w:r>
      <w:r w:rsidR="007D0726">
        <w:t xml:space="preserve">at </w:t>
      </w:r>
      <w:r w:rsidRPr="00750A2D">
        <w:t>598</w:t>
      </w:r>
      <w:r>
        <w:t xml:space="preserve"> (quoting</w:t>
      </w:r>
      <w:r w:rsidRPr="00750A2D">
        <w:rPr>
          <w:i/>
          <w:iCs/>
        </w:rPr>
        <w:t xml:space="preserve"> </w:t>
      </w:r>
      <w:r w:rsidR="007D0726" w:rsidRPr="00750A2D">
        <w:rPr>
          <w:i/>
          <w:iCs/>
        </w:rPr>
        <w:t>Cafeteria &amp;</w:t>
      </w:r>
      <w:r w:rsidRPr="00750A2D">
        <w:rPr>
          <w:i/>
          <w:iCs/>
        </w:rPr>
        <w:t>Restaurant Workers v. McElroy</w:t>
      </w:r>
      <w:r w:rsidRPr="007D0726">
        <w:rPr>
          <w:iCs/>
        </w:rPr>
        <w:t>,</w:t>
      </w:r>
      <w:r w:rsidRPr="00750A2D">
        <w:t xml:space="preserve"> 367 U.S. 886, 896 (1961)</w:t>
      </w:r>
      <w:r>
        <w:t>)</w:t>
      </w:r>
      <w:r w:rsidRPr="00750A2D">
        <w:t>.</w:t>
      </w:r>
    </w:p>
  </w:endnote>
  <w:endnote w:id="35">
    <w:p w:rsidR="00750A2D" w:rsidRDefault="00750A2D" w:rsidP="004B1F87">
      <w:pPr>
        <w:pStyle w:val="EndnoteText"/>
        <w:spacing w:after="120"/>
      </w:pPr>
      <w:r>
        <w:rPr>
          <w:rStyle w:val="EndnoteReference"/>
        </w:rPr>
        <w:endnoteRef/>
      </w:r>
      <w:r>
        <w:t xml:space="preserve"> </w:t>
      </w:r>
      <w:r w:rsidR="007D0726">
        <w:rPr>
          <w:i/>
        </w:rPr>
        <w:t xml:space="preserve">Id. </w:t>
      </w:r>
      <w:r w:rsidR="007D0726">
        <w:t xml:space="preserve">at </w:t>
      </w:r>
      <w:r w:rsidRPr="00750A2D">
        <w:t>599</w:t>
      </w:r>
      <w:r>
        <w:t xml:space="preserve"> (citations omitted).</w:t>
      </w:r>
    </w:p>
  </w:endnote>
  <w:endnote w:id="36">
    <w:p w:rsidR="006B6D53" w:rsidRDefault="006B6D53" w:rsidP="004B1F87">
      <w:pPr>
        <w:pStyle w:val="EndnoteText"/>
        <w:spacing w:after="120"/>
      </w:pPr>
      <w:r>
        <w:rPr>
          <w:rStyle w:val="EndnoteReference"/>
        </w:rPr>
        <w:endnoteRef/>
      </w:r>
      <w:r w:rsidR="007D0726">
        <w:rPr>
          <w:i/>
          <w:iCs/>
        </w:rPr>
        <w:t xml:space="preserve"> Id.</w:t>
      </w:r>
      <w:r w:rsidR="007D0726">
        <w:rPr>
          <w:iCs/>
        </w:rPr>
        <w:t xml:space="preserve"> at</w:t>
      </w:r>
      <w:r w:rsidRPr="006B6D53">
        <w:t xml:space="preserve"> 601</w:t>
      </w:r>
      <w:r w:rsidR="007D0726">
        <w:t>.</w:t>
      </w:r>
    </w:p>
  </w:endnote>
  <w:endnote w:id="37">
    <w:p w:rsidR="006B6D53" w:rsidRPr="006B6D53" w:rsidRDefault="006B6D53" w:rsidP="004B1F87">
      <w:pPr>
        <w:pStyle w:val="EndnoteText"/>
        <w:spacing w:after="120"/>
      </w:pPr>
      <w:r>
        <w:rPr>
          <w:rStyle w:val="EndnoteReference"/>
        </w:rPr>
        <w:endnoteRef/>
      </w:r>
      <w:r>
        <w:t xml:space="preserve"> </w:t>
      </w:r>
      <w:r>
        <w:rPr>
          <w:i/>
        </w:rPr>
        <w:t>Id.</w:t>
      </w:r>
    </w:p>
  </w:endnote>
  <w:endnote w:id="38">
    <w:p w:rsidR="009C52C4" w:rsidRDefault="009C52C4" w:rsidP="004B1F87">
      <w:pPr>
        <w:pStyle w:val="EndnoteText"/>
        <w:spacing w:after="120"/>
      </w:pPr>
      <w:r>
        <w:rPr>
          <w:rStyle w:val="EndnoteReference"/>
        </w:rPr>
        <w:endnoteRef/>
      </w:r>
      <w:r>
        <w:t xml:space="preserve"> </w:t>
      </w:r>
      <w:r w:rsidR="007D0726">
        <w:rPr>
          <w:i/>
          <w:iCs/>
        </w:rPr>
        <w:t>Id.</w:t>
      </w:r>
      <w:r w:rsidR="007D0726">
        <w:rPr>
          <w:iCs/>
        </w:rPr>
        <w:t xml:space="preserve"> at</w:t>
      </w:r>
      <w:r w:rsidR="007D0726" w:rsidRPr="006B6D53">
        <w:t xml:space="preserve"> 60</w:t>
      </w:r>
      <w:r w:rsidR="007D0726">
        <w:t>2.</w:t>
      </w:r>
    </w:p>
  </w:endnote>
  <w:endnote w:id="39">
    <w:p w:rsidR="009C52C4" w:rsidRDefault="009C52C4" w:rsidP="004B1F87">
      <w:pPr>
        <w:pStyle w:val="EndnoteText"/>
        <w:spacing w:after="120"/>
      </w:pPr>
      <w:r>
        <w:rPr>
          <w:rStyle w:val="EndnoteReference"/>
        </w:rPr>
        <w:endnoteRef/>
      </w:r>
      <w:r>
        <w:t xml:space="preserve"> </w:t>
      </w:r>
      <w:r w:rsidR="007D0726">
        <w:rPr>
          <w:i/>
        </w:rPr>
        <w:t>Id.</w:t>
      </w:r>
      <w:r w:rsidR="007D0726">
        <w:t xml:space="preserve"> </w:t>
      </w:r>
      <w:r>
        <w:t>(emphasis added).</w:t>
      </w:r>
    </w:p>
  </w:endnote>
  <w:endnote w:id="40">
    <w:p w:rsidR="001B5A0A" w:rsidRDefault="001B5A0A" w:rsidP="004B1F87">
      <w:pPr>
        <w:pStyle w:val="EndnoteText"/>
        <w:spacing w:after="120"/>
      </w:pPr>
      <w:r>
        <w:rPr>
          <w:rStyle w:val="EndnoteReference"/>
        </w:rPr>
        <w:endnoteRef/>
      </w:r>
      <w:r>
        <w:t xml:space="preserve"> </w:t>
      </w:r>
      <w:r w:rsidR="007D0726">
        <w:rPr>
          <w:i/>
          <w:iCs/>
        </w:rPr>
        <w:t>Id.</w:t>
      </w:r>
      <w:r w:rsidR="007D0726">
        <w:rPr>
          <w:iCs/>
        </w:rPr>
        <w:t xml:space="preserve"> at</w:t>
      </w:r>
      <w:r w:rsidR="007D0726" w:rsidRPr="006B6D53">
        <w:t xml:space="preserve"> 60</w:t>
      </w:r>
      <w:r w:rsidR="007D0726">
        <w:t>3.</w:t>
      </w:r>
    </w:p>
  </w:endnote>
  <w:endnote w:id="41">
    <w:p w:rsidR="00CE6215" w:rsidRDefault="00CE6215" w:rsidP="004B1F87">
      <w:pPr>
        <w:pStyle w:val="EndnoteText"/>
        <w:spacing w:after="120"/>
      </w:pPr>
      <w:r>
        <w:rPr>
          <w:rStyle w:val="EndnoteReference"/>
        </w:rPr>
        <w:endnoteRef/>
      </w:r>
      <w:r>
        <w:t xml:space="preserve"> </w:t>
      </w:r>
      <w:r w:rsidR="00155370">
        <w:rPr>
          <w:i/>
        </w:rPr>
        <w:t>Id.</w:t>
      </w:r>
      <w:r w:rsidR="00155370">
        <w:t xml:space="preserve"> at </w:t>
      </w:r>
      <w:r w:rsidRPr="00CE6215">
        <w:t>604,</w:t>
      </w:r>
      <w:r w:rsidR="00155370">
        <w:t xml:space="preserve"> </w:t>
      </w:r>
      <w:r w:rsidRPr="00CE6215">
        <w:t>605</w:t>
      </w:r>
      <w:r w:rsidR="00155370">
        <w:t>.</w:t>
      </w:r>
    </w:p>
  </w:endnote>
  <w:endnote w:id="42">
    <w:p w:rsidR="00DA4E1C" w:rsidRPr="00DA4E1C" w:rsidRDefault="00DA4E1C" w:rsidP="004B1F87">
      <w:pPr>
        <w:pStyle w:val="EndnoteText"/>
        <w:spacing w:after="120"/>
      </w:pPr>
      <w:r>
        <w:rPr>
          <w:rStyle w:val="EndnoteReference"/>
        </w:rPr>
        <w:endnoteRef/>
      </w:r>
      <w:r>
        <w:t xml:space="preserve"> </w:t>
      </w:r>
      <w:r>
        <w:rPr>
          <w:i/>
        </w:rPr>
        <w:t>See id.</w:t>
      </w:r>
    </w:p>
  </w:endnote>
  <w:endnote w:id="43">
    <w:p w:rsidR="005D34FE" w:rsidRDefault="005D34FE" w:rsidP="004B1F87">
      <w:pPr>
        <w:pStyle w:val="EndnoteText"/>
        <w:spacing w:after="120"/>
      </w:pPr>
      <w:r>
        <w:rPr>
          <w:rStyle w:val="EndnoteReference"/>
        </w:rPr>
        <w:endnoteRef/>
      </w:r>
      <w:r>
        <w:t xml:space="preserve"> </w:t>
      </w:r>
      <w:r w:rsidRPr="005D34FE">
        <w:rPr>
          <w:i/>
          <w:iCs/>
        </w:rPr>
        <w:t>Beeler v. Rounsavall</w:t>
      </w:r>
      <w:r w:rsidRPr="005D34FE">
        <w:t>, 328 F.3d 813, 817–18 (5th Cir. 2003)</w:t>
      </w:r>
      <w:r w:rsidR="004B1F87">
        <w:t>.</w:t>
      </w:r>
    </w:p>
  </w:endnote>
  <w:endnote w:id="44">
    <w:p w:rsidR="001579C8" w:rsidRDefault="001579C8" w:rsidP="004B1F87">
      <w:pPr>
        <w:pStyle w:val="EndnoteText"/>
        <w:spacing w:after="120"/>
      </w:pPr>
      <w:r>
        <w:rPr>
          <w:rStyle w:val="EndnoteReference"/>
        </w:rPr>
        <w:endnoteRef/>
      </w:r>
      <w:r>
        <w:t xml:space="preserve"> </w:t>
      </w:r>
      <w:r w:rsidRPr="008E4E23">
        <w:rPr>
          <w:i/>
          <w:iCs/>
        </w:rPr>
        <w:t>Engquist</w:t>
      </w:r>
      <w:r w:rsidRPr="008E4E23">
        <w:t xml:space="preserve">, 553 U.S. </w:t>
      </w:r>
      <w:r w:rsidR="00155370">
        <w:t>at</w:t>
      </w:r>
      <w:r w:rsidRPr="008E4E23">
        <w:t xml:space="preserve"> 603–04</w:t>
      </w:r>
      <w:r>
        <w:t xml:space="preserve"> (emphasis added).</w:t>
      </w:r>
    </w:p>
  </w:endnote>
  <w:endnote w:id="45">
    <w:p w:rsidR="001579C8" w:rsidRDefault="001579C8" w:rsidP="004B1F87">
      <w:pPr>
        <w:pStyle w:val="EndnoteText"/>
        <w:spacing w:after="120"/>
      </w:pPr>
      <w:r>
        <w:rPr>
          <w:rStyle w:val="EndnoteReference"/>
        </w:rPr>
        <w:endnoteRef/>
      </w:r>
      <w:r>
        <w:t xml:space="preserve"> </w:t>
      </w:r>
      <w:r w:rsidRPr="001579C8">
        <w:rPr>
          <w:i/>
          <w:iCs/>
        </w:rPr>
        <w:t>Wayte</w:t>
      </w:r>
      <w:r w:rsidRPr="001579C8">
        <w:t xml:space="preserve">, 470 U.S. </w:t>
      </w:r>
      <w:r w:rsidR="004B1F87">
        <w:t>at</w:t>
      </w:r>
      <w:r w:rsidRPr="001579C8">
        <w:t xml:space="preserve"> 608 </w:t>
      </w:r>
      <w:r>
        <w:t>(emphasis added).</w:t>
      </w:r>
    </w:p>
  </w:endnote>
  <w:endnote w:id="46">
    <w:p w:rsidR="00DA483D" w:rsidRPr="00BB1C3A" w:rsidRDefault="00DA483D" w:rsidP="004B1F87">
      <w:pPr>
        <w:pStyle w:val="EndnoteText"/>
        <w:spacing w:after="120"/>
      </w:pPr>
      <w:r>
        <w:rPr>
          <w:rStyle w:val="EndnoteReference"/>
        </w:rPr>
        <w:endnoteRef/>
      </w:r>
      <w:r>
        <w:t xml:space="preserve"> </w:t>
      </w:r>
      <w:r>
        <w:rPr>
          <w:i/>
        </w:rPr>
        <w:t>See</w:t>
      </w:r>
      <w:r w:rsidR="00BB1C3A">
        <w:t xml:space="preserve"> </w:t>
      </w:r>
      <w:r w:rsidR="00BB1C3A" w:rsidRPr="00BB1C3A">
        <w:rPr>
          <w:i/>
          <w:iCs/>
        </w:rPr>
        <w:t>Integrity Collision Ctr. v. City of Fulshear</w:t>
      </w:r>
      <w:r w:rsidR="00BB1C3A" w:rsidRPr="00BB1C3A">
        <w:t>, 837 F.3d 581, 586 (5th Cir. 2016)</w:t>
      </w:r>
      <w:r w:rsidR="00BB1C3A">
        <w:t>;</w:t>
      </w:r>
      <w:r w:rsidR="00E8599D" w:rsidRPr="00E8599D">
        <w:rPr>
          <w:rFonts w:ascii="Times New Roman" w:eastAsia="Times New Roman" w:hAnsi="Times New Roman" w:cs="Times New Roman"/>
          <w:sz w:val="24"/>
          <w:szCs w:val="24"/>
        </w:rPr>
        <w:t xml:space="preserve"> </w:t>
      </w:r>
      <w:r w:rsidR="00E8599D" w:rsidRPr="00E8599D">
        <w:rPr>
          <w:i/>
          <w:iCs/>
        </w:rPr>
        <w:t>Integrity Collision Ctr. v. City of Sugar Land, Tex.</w:t>
      </w:r>
      <w:r w:rsidR="00E8599D" w:rsidRPr="00E8599D">
        <w:t>, CIV.A. H-14-2313, 2015 WL 5737633, at *6 (S.D. Tex. Sept. 30, 2015)</w:t>
      </w:r>
      <w:r w:rsidR="00E8599D">
        <w:t xml:space="preserve">; </w:t>
      </w:r>
      <w:r w:rsidR="00BB1C3A" w:rsidRPr="00BB1C3A">
        <w:rPr>
          <w:i/>
          <w:iCs/>
        </w:rPr>
        <w:t>Chavers v. Morrow</w:t>
      </w:r>
      <w:r w:rsidR="00BB1C3A" w:rsidRPr="00BB1C3A">
        <w:t xml:space="preserve">, CIV. A. H-08-3286, 2010 WL 3447687, at *5 (S.D. Tex. Aug. 30, 2010), </w:t>
      </w:r>
      <w:r w:rsidR="00BB1C3A" w:rsidRPr="00BB1C3A">
        <w:rPr>
          <w:i/>
          <w:iCs/>
        </w:rPr>
        <w:t>aff</w:t>
      </w:r>
      <w:r w:rsidR="001D5BE4">
        <w:rPr>
          <w:i/>
          <w:iCs/>
        </w:rPr>
        <w:t>’</w:t>
      </w:r>
      <w:r w:rsidR="00BB1C3A" w:rsidRPr="00BB1C3A">
        <w:rPr>
          <w:i/>
          <w:iCs/>
        </w:rPr>
        <w:t>d,</w:t>
      </w:r>
      <w:r w:rsidR="00BB1C3A" w:rsidRPr="00BB1C3A">
        <w:t xml:space="preserve"> 449 Fed. Appx. 411 (5th Cir. 2011)</w:t>
      </w:r>
      <w:r w:rsidR="00E8599D">
        <w:t>;</w:t>
      </w:r>
      <w:r w:rsidR="00E8599D" w:rsidRPr="00E8599D">
        <w:rPr>
          <w:i/>
          <w:sz w:val="24"/>
          <w:szCs w:val="24"/>
        </w:rPr>
        <w:t xml:space="preserve"> </w:t>
      </w:r>
      <w:r w:rsidR="00E8599D" w:rsidRPr="00E8599D">
        <w:rPr>
          <w:i/>
        </w:rPr>
        <w:t>Heusser v. Hale</w:t>
      </w:r>
      <w:r w:rsidR="00E8599D" w:rsidRPr="00E8599D">
        <w:t>, 777 F. Supp. 2d 366, 384 (D. Conn. 2011)</w:t>
      </w:r>
      <w:r w:rsidR="00E8599D">
        <w:t xml:space="preserve"> </w:t>
      </w:r>
      <w:r w:rsidR="00E8599D">
        <w:rPr>
          <w:i/>
        </w:rPr>
        <w:t>see also</w:t>
      </w:r>
      <w:r w:rsidR="00BB1C3A">
        <w:t xml:space="preserve"> </w:t>
      </w:r>
      <w:r w:rsidR="00BB1C3A" w:rsidRPr="00BB1C3A">
        <w:rPr>
          <w:i/>
          <w:iCs/>
        </w:rPr>
        <w:t>Fort Bend County Wrecker Ass</w:t>
      </w:r>
      <w:r w:rsidR="001D5BE4">
        <w:rPr>
          <w:i/>
          <w:iCs/>
        </w:rPr>
        <w:t>’</w:t>
      </w:r>
      <w:r w:rsidR="00BB1C3A" w:rsidRPr="00BB1C3A">
        <w:rPr>
          <w:i/>
          <w:iCs/>
        </w:rPr>
        <w:t>n v. Wright</w:t>
      </w:r>
      <w:r w:rsidR="00BB1C3A" w:rsidRPr="00BB1C3A">
        <w:rPr>
          <w:iCs/>
        </w:rPr>
        <w:t>, 39 S.W.3d 421, 425 (Tex. App.—Houston [1st Dist.] 2001, no pet.)</w:t>
      </w:r>
      <w:r w:rsidR="00E8599D">
        <w:rPr>
          <w:iCs/>
        </w:rPr>
        <w:t xml:space="preserve"> (asserting due process right to presence on tow rotation list); </w:t>
      </w:r>
      <w:r w:rsidR="00E8599D" w:rsidRPr="00E8599D">
        <w:rPr>
          <w:i/>
          <w:iCs/>
        </w:rPr>
        <w:t>Wimer v. Holzapfel</w:t>
      </w:r>
      <w:r w:rsidR="00E8599D" w:rsidRPr="00E8599D">
        <w:rPr>
          <w:iCs/>
        </w:rPr>
        <w:t>, 868 F. Supp. 844, 848 (E.D. Tex. 1994)</w:t>
      </w:r>
      <w:r w:rsidR="00E8599D">
        <w:rPr>
          <w:iCs/>
        </w:rPr>
        <w:t xml:space="preserve"> (same).</w:t>
      </w:r>
    </w:p>
  </w:endnote>
  <w:endnote w:id="47">
    <w:p w:rsidR="00B75F44" w:rsidRDefault="00B75F44" w:rsidP="004B1F87">
      <w:pPr>
        <w:pStyle w:val="EndnoteText"/>
        <w:spacing w:after="120"/>
      </w:pPr>
      <w:r>
        <w:rPr>
          <w:rStyle w:val="EndnoteReference"/>
        </w:rPr>
        <w:endnoteRef/>
      </w:r>
      <w:r>
        <w:t xml:space="preserve"> </w:t>
      </w:r>
      <w:r w:rsidRPr="00B75F44">
        <w:rPr>
          <w:i/>
        </w:rPr>
        <w:t>Integrity Collision Ctr. v. City of Fulshear</w:t>
      </w:r>
      <w:r>
        <w:t>, 837 F.3d 581, 584 (5th Cir. 2016)</w:t>
      </w:r>
      <w:r w:rsidR="004B1F87">
        <w:t>.</w:t>
      </w:r>
    </w:p>
  </w:endnote>
  <w:endnote w:id="48">
    <w:p w:rsidR="00C734A1" w:rsidRPr="00C734A1" w:rsidRDefault="00C734A1" w:rsidP="004B1F87">
      <w:pPr>
        <w:pStyle w:val="EndnoteText"/>
        <w:spacing w:after="120"/>
      </w:pPr>
      <w:r>
        <w:rPr>
          <w:rStyle w:val="EndnoteReference"/>
        </w:rPr>
        <w:endnoteRef/>
      </w:r>
      <w:r>
        <w:t xml:space="preserve"> </w:t>
      </w:r>
      <w:r>
        <w:rPr>
          <w:i/>
        </w:rPr>
        <w:t>Id.</w:t>
      </w:r>
    </w:p>
  </w:endnote>
  <w:endnote w:id="49">
    <w:p w:rsidR="00B65349" w:rsidRPr="00B65349" w:rsidRDefault="00B65349" w:rsidP="004B1F87">
      <w:pPr>
        <w:pStyle w:val="EndnoteText"/>
        <w:spacing w:after="120"/>
      </w:pPr>
      <w:r>
        <w:rPr>
          <w:rStyle w:val="EndnoteReference"/>
        </w:rPr>
        <w:endnoteRef/>
      </w:r>
      <w:r>
        <w:t xml:space="preserve"> </w:t>
      </w:r>
      <w:r>
        <w:rPr>
          <w:i/>
        </w:rPr>
        <w:t>Id.</w:t>
      </w:r>
    </w:p>
  </w:endnote>
  <w:endnote w:id="50">
    <w:p w:rsidR="000D2B42" w:rsidRPr="000D2B42" w:rsidRDefault="000D2B42" w:rsidP="004B1F87">
      <w:pPr>
        <w:pStyle w:val="EndnoteText"/>
        <w:spacing w:after="120"/>
      </w:pPr>
      <w:r>
        <w:rPr>
          <w:rStyle w:val="EndnoteReference"/>
        </w:rPr>
        <w:endnoteRef/>
      </w:r>
      <w:r>
        <w:t xml:space="preserve"> </w:t>
      </w:r>
      <w:r>
        <w:rPr>
          <w:i/>
        </w:rPr>
        <w:t>Id.</w:t>
      </w:r>
      <w:r>
        <w:t xml:space="preserve"> at 584, 585.</w:t>
      </w:r>
    </w:p>
  </w:endnote>
  <w:endnote w:id="51">
    <w:p w:rsidR="000D2B42" w:rsidRPr="000D2B42" w:rsidRDefault="000D2B42" w:rsidP="004B1F87">
      <w:pPr>
        <w:pStyle w:val="EndnoteText"/>
        <w:spacing w:after="120"/>
      </w:pPr>
      <w:r>
        <w:rPr>
          <w:rStyle w:val="EndnoteReference"/>
        </w:rPr>
        <w:endnoteRef/>
      </w:r>
      <w:r>
        <w:t xml:space="preserve"> </w:t>
      </w:r>
      <w:r>
        <w:rPr>
          <w:i/>
        </w:rPr>
        <w:t>Id.</w:t>
      </w:r>
      <w:r>
        <w:t xml:space="preserve"> at 584.</w:t>
      </w:r>
    </w:p>
  </w:endnote>
  <w:endnote w:id="52">
    <w:p w:rsidR="006B218B" w:rsidRPr="006B218B" w:rsidRDefault="006B218B" w:rsidP="004B1F87">
      <w:pPr>
        <w:pStyle w:val="EndnoteText"/>
        <w:spacing w:after="120"/>
      </w:pPr>
      <w:r>
        <w:rPr>
          <w:rStyle w:val="EndnoteReference"/>
        </w:rPr>
        <w:endnoteRef/>
      </w:r>
      <w:r>
        <w:t xml:space="preserve"> </w:t>
      </w:r>
      <w:r>
        <w:rPr>
          <w:i/>
        </w:rPr>
        <w:t>Id.</w:t>
      </w:r>
      <w:r>
        <w:t xml:space="preserve"> at 584, 587.</w:t>
      </w:r>
    </w:p>
  </w:endnote>
  <w:endnote w:id="53">
    <w:p w:rsidR="00142F14" w:rsidRDefault="00142F14" w:rsidP="004B1F87">
      <w:pPr>
        <w:pStyle w:val="EndnoteText"/>
        <w:spacing w:after="120"/>
      </w:pPr>
      <w:r>
        <w:rPr>
          <w:rStyle w:val="EndnoteReference"/>
        </w:rPr>
        <w:endnoteRef/>
      </w:r>
      <w:r>
        <w:t xml:space="preserve"> </w:t>
      </w:r>
      <w:r w:rsidRPr="00142F14">
        <w:rPr>
          <w:i/>
          <w:iCs/>
        </w:rPr>
        <w:t>I</w:t>
      </w:r>
      <w:r w:rsidR="00692317">
        <w:rPr>
          <w:i/>
          <w:iCs/>
        </w:rPr>
        <w:t>d.</w:t>
      </w:r>
      <w:r w:rsidR="00692317">
        <w:rPr>
          <w:iCs/>
        </w:rPr>
        <w:t xml:space="preserve"> at </w:t>
      </w:r>
      <w:r w:rsidRPr="00142F14">
        <w:t>587</w:t>
      </w:r>
      <w:r w:rsidR="00692317">
        <w:t>.</w:t>
      </w:r>
    </w:p>
  </w:endnote>
  <w:endnote w:id="54">
    <w:p w:rsidR="006B218B" w:rsidRDefault="006B218B" w:rsidP="004B1F87">
      <w:pPr>
        <w:pStyle w:val="EndnoteText"/>
        <w:spacing w:after="120"/>
      </w:pPr>
      <w:r>
        <w:rPr>
          <w:rStyle w:val="EndnoteReference"/>
        </w:rPr>
        <w:endnoteRef/>
      </w:r>
      <w:r>
        <w:t xml:space="preserve"> </w:t>
      </w:r>
      <w:r w:rsidR="00692317" w:rsidRPr="00142F14">
        <w:rPr>
          <w:i/>
          <w:iCs/>
        </w:rPr>
        <w:t>I</w:t>
      </w:r>
      <w:r w:rsidR="00692317">
        <w:rPr>
          <w:i/>
          <w:iCs/>
        </w:rPr>
        <w:t>d.</w:t>
      </w:r>
    </w:p>
  </w:endnote>
  <w:endnote w:id="55">
    <w:p w:rsidR="005F3849" w:rsidRDefault="005F3849" w:rsidP="004B1F87">
      <w:pPr>
        <w:pStyle w:val="EndnoteText"/>
        <w:spacing w:after="120"/>
      </w:pPr>
      <w:r>
        <w:rPr>
          <w:rStyle w:val="EndnoteReference"/>
        </w:rPr>
        <w:endnoteRef/>
      </w:r>
      <w:r>
        <w:t xml:space="preserve"> </w:t>
      </w:r>
      <w:r w:rsidR="00692317" w:rsidRPr="00142F14">
        <w:rPr>
          <w:i/>
          <w:iCs/>
        </w:rPr>
        <w:t>I</w:t>
      </w:r>
      <w:r w:rsidR="00692317">
        <w:rPr>
          <w:i/>
          <w:iCs/>
        </w:rPr>
        <w:t>d.</w:t>
      </w:r>
      <w:r w:rsidR="00692317">
        <w:rPr>
          <w:iCs/>
        </w:rPr>
        <w:t xml:space="preserve"> at </w:t>
      </w:r>
      <w:r w:rsidR="00692317" w:rsidRPr="00142F14">
        <w:t>58</w:t>
      </w:r>
      <w:r w:rsidRPr="005F3849">
        <w:t>8</w:t>
      </w:r>
      <w:r w:rsidR="00692317">
        <w:t>.</w:t>
      </w:r>
    </w:p>
  </w:endnote>
  <w:endnote w:id="56">
    <w:p w:rsidR="005F3849" w:rsidRDefault="005F3849" w:rsidP="004B1F87">
      <w:pPr>
        <w:pStyle w:val="EndnoteText"/>
        <w:spacing w:after="120"/>
      </w:pPr>
      <w:r>
        <w:rPr>
          <w:rStyle w:val="EndnoteReference"/>
        </w:rPr>
        <w:endnoteRef/>
      </w:r>
      <w:r>
        <w:t xml:space="preserve"> </w:t>
      </w:r>
      <w:r w:rsidR="00692317" w:rsidRPr="00142F14">
        <w:rPr>
          <w:i/>
          <w:iCs/>
        </w:rPr>
        <w:t>I</w:t>
      </w:r>
      <w:r w:rsidR="00692317">
        <w:rPr>
          <w:i/>
          <w:iCs/>
        </w:rPr>
        <w:t>d.</w:t>
      </w:r>
    </w:p>
  </w:endnote>
  <w:endnote w:id="57">
    <w:p w:rsidR="00797312" w:rsidRPr="00797312" w:rsidRDefault="00797312" w:rsidP="004B1F87">
      <w:pPr>
        <w:pStyle w:val="EndnoteText"/>
        <w:spacing w:after="120"/>
      </w:pPr>
      <w:r>
        <w:rPr>
          <w:rStyle w:val="EndnoteReference"/>
        </w:rPr>
        <w:endnoteRef/>
      </w:r>
      <w:r>
        <w:t xml:space="preserve"> </w:t>
      </w:r>
      <w:r>
        <w:rPr>
          <w:i/>
        </w:rPr>
        <w:t>Id.</w:t>
      </w:r>
    </w:p>
  </w:endnote>
  <w:endnote w:id="58">
    <w:p w:rsidR="00797312" w:rsidRDefault="00797312" w:rsidP="004B1F87">
      <w:pPr>
        <w:pStyle w:val="EndnoteText"/>
        <w:spacing w:after="120"/>
      </w:pPr>
      <w:r>
        <w:rPr>
          <w:rStyle w:val="EndnoteReference"/>
        </w:rPr>
        <w:endnoteRef/>
      </w:r>
      <w:r>
        <w:t xml:space="preserve"> </w:t>
      </w:r>
      <w:r w:rsidRPr="00797312">
        <w:rPr>
          <w:i/>
          <w:iCs/>
        </w:rPr>
        <w:t>I</w:t>
      </w:r>
      <w:r w:rsidR="004B1F87">
        <w:rPr>
          <w:i/>
          <w:iCs/>
        </w:rPr>
        <w:t xml:space="preserve">d. </w:t>
      </w:r>
      <w:r w:rsidR="004B1F87">
        <w:rPr>
          <w:iCs/>
        </w:rPr>
        <w:t xml:space="preserve">at </w:t>
      </w:r>
      <w:r w:rsidR="004B1F87">
        <w:t>589.</w:t>
      </w:r>
    </w:p>
  </w:endnote>
  <w:endnote w:id="59">
    <w:p w:rsidR="001F2AAC" w:rsidRDefault="001F2AAC" w:rsidP="004B1F87">
      <w:pPr>
        <w:pStyle w:val="EndnoteText"/>
        <w:spacing w:after="120"/>
      </w:pPr>
      <w:r>
        <w:rPr>
          <w:rStyle w:val="EndnoteReference"/>
        </w:rPr>
        <w:endnoteRef/>
      </w:r>
      <w:r>
        <w:t xml:space="preserve"> </w:t>
      </w:r>
      <w:r w:rsidRPr="001F2AAC">
        <w:rPr>
          <w:i/>
          <w:iCs/>
        </w:rPr>
        <w:t>Gil Ramirez Group, L.L.C. v. Houston Indep. Sch. Dist.</w:t>
      </w:r>
      <w:r w:rsidRPr="001F2AAC">
        <w:t>, 786 F.3d 400, 419 (5th Cir. 2015)</w:t>
      </w:r>
      <w:r>
        <w:t xml:space="preserve"> (citing </w:t>
      </w:r>
      <w:r w:rsidRPr="001F2AAC">
        <w:rPr>
          <w:i/>
          <w:iCs/>
        </w:rPr>
        <w:t>Club Italia Soccer &amp; Sports Org., Inc. v. Charter Twp. of Shelby, Mich.,</w:t>
      </w:r>
      <w:r w:rsidRPr="001F2AAC">
        <w:t xml:space="preserve"> 470 F.3d 286, 299 (6th Cir.2006) (rejecting equal protection claim when one vendor “was treated beneficially, but no party was discriminated against”)</w:t>
      </w:r>
      <w:r>
        <w:t>)</w:t>
      </w:r>
      <w:r w:rsidRPr="001F2AAC">
        <w:t>.</w:t>
      </w:r>
    </w:p>
  </w:endnote>
  <w:endnote w:id="60">
    <w:p w:rsidR="008A1EDB" w:rsidRDefault="008A1EDB" w:rsidP="004B1F87">
      <w:pPr>
        <w:pStyle w:val="EndnoteText"/>
        <w:spacing w:after="120"/>
      </w:pPr>
      <w:r>
        <w:rPr>
          <w:rStyle w:val="EndnoteReference"/>
        </w:rPr>
        <w:endnoteRef/>
      </w:r>
      <w:r>
        <w:t xml:space="preserve"> </w:t>
      </w:r>
      <w:r w:rsidRPr="009C52C4">
        <w:rPr>
          <w:i/>
          <w:iCs/>
        </w:rPr>
        <w:t>Engquist</w:t>
      </w:r>
      <w:r w:rsidRPr="009C52C4">
        <w:t xml:space="preserve">, 553 U.S. </w:t>
      </w:r>
      <w:r w:rsidR="004B1F87">
        <w:t>at</w:t>
      </w:r>
      <w:r w:rsidRPr="009C52C4">
        <w:t xml:space="preserve"> 602</w:t>
      </w:r>
      <w:r>
        <w:t xml:space="preserve"> (emphasis added).</w:t>
      </w:r>
    </w:p>
  </w:endnote>
  <w:endnote w:id="61">
    <w:p w:rsidR="008A1EDB" w:rsidRDefault="008A1EDB" w:rsidP="004B1F87">
      <w:pPr>
        <w:pStyle w:val="EndnoteText"/>
        <w:spacing w:after="120"/>
      </w:pPr>
      <w:r>
        <w:rPr>
          <w:rStyle w:val="EndnoteReference"/>
        </w:rPr>
        <w:endnoteRef/>
      </w:r>
      <w:r>
        <w:t xml:space="preserve"> </w:t>
      </w:r>
      <w:r>
        <w:rPr>
          <w:i/>
        </w:rPr>
        <w:t xml:space="preserve">See </w:t>
      </w:r>
      <w:r>
        <w:t>Tex. Gov</w:t>
      </w:r>
      <w:r w:rsidR="001D5BE4">
        <w:t>’</w:t>
      </w:r>
      <w:r>
        <w:t>t Code, Chapter 2269.</w:t>
      </w:r>
    </w:p>
  </w:endnote>
  <w:endnote w:id="62">
    <w:p w:rsidR="004353D4" w:rsidRPr="004353D4" w:rsidRDefault="004353D4" w:rsidP="004B1F87">
      <w:pPr>
        <w:pStyle w:val="EndnoteText"/>
        <w:spacing w:after="120"/>
      </w:pPr>
      <w:r>
        <w:rPr>
          <w:rStyle w:val="EndnoteReference"/>
        </w:rPr>
        <w:endnoteRef/>
      </w:r>
      <w:r>
        <w:t xml:space="preserve"> </w:t>
      </w:r>
      <w:r>
        <w:rPr>
          <w:i/>
        </w:rPr>
        <w:t>See</w:t>
      </w:r>
      <w:r>
        <w:t xml:space="preserve"> Tex. Loc. Gov</w:t>
      </w:r>
      <w:r w:rsidR="001D5BE4">
        <w:t>’</w:t>
      </w:r>
      <w:r>
        <w:t>t Code, Ch. 262 (competitive bidding procedures for counties).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40243"/>
      <w:docPartObj>
        <w:docPartGallery w:val="Page Numbers (Bottom of Page)"/>
        <w:docPartUnique/>
      </w:docPartObj>
    </w:sdtPr>
    <w:sdtEndPr>
      <w:rPr>
        <w:noProof/>
      </w:rPr>
    </w:sdtEndPr>
    <w:sdtContent>
      <w:p w:rsidR="00A314E1" w:rsidRDefault="00A314E1">
        <w:pPr>
          <w:pStyle w:val="Footer"/>
          <w:jc w:val="center"/>
        </w:pPr>
        <w:r>
          <w:fldChar w:fldCharType="begin"/>
        </w:r>
        <w:r>
          <w:instrText xml:space="preserve"> PAGE   \* MERGEFORMAT </w:instrText>
        </w:r>
        <w:r>
          <w:fldChar w:fldCharType="separate"/>
        </w:r>
        <w:r w:rsidR="006C2318">
          <w:rPr>
            <w:noProof/>
          </w:rPr>
          <w:t>2</w:t>
        </w:r>
        <w:r>
          <w:rPr>
            <w:noProof/>
          </w:rPr>
          <w:fldChar w:fldCharType="end"/>
        </w:r>
      </w:p>
    </w:sdtContent>
  </w:sdt>
  <w:p w:rsidR="00A314E1" w:rsidRDefault="00A31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91" w:rsidRDefault="001D0091" w:rsidP="00413040">
      <w:pPr>
        <w:spacing w:line="240" w:lineRule="auto"/>
      </w:pPr>
      <w:r>
        <w:separator/>
      </w:r>
    </w:p>
  </w:footnote>
  <w:footnote w:type="continuationSeparator" w:id="0">
    <w:p w:rsidR="001D0091" w:rsidRDefault="001D0091" w:rsidP="004130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40"/>
    <w:rsid w:val="00052A32"/>
    <w:rsid w:val="00055EE7"/>
    <w:rsid w:val="0009007B"/>
    <w:rsid w:val="000D2B42"/>
    <w:rsid w:val="000F26ED"/>
    <w:rsid w:val="00117D27"/>
    <w:rsid w:val="00142F14"/>
    <w:rsid w:val="00155370"/>
    <w:rsid w:val="001579C8"/>
    <w:rsid w:val="001905B0"/>
    <w:rsid w:val="00196639"/>
    <w:rsid w:val="0019666D"/>
    <w:rsid w:val="001B5A0A"/>
    <w:rsid w:val="001D0091"/>
    <w:rsid w:val="001D5BE4"/>
    <w:rsid w:val="001F2AAC"/>
    <w:rsid w:val="00202B39"/>
    <w:rsid w:val="002159AC"/>
    <w:rsid w:val="0026381C"/>
    <w:rsid w:val="002F5ED3"/>
    <w:rsid w:val="00355C78"/>
    <w:rsid w:val="00413040"/>
    <w:rsid w:val="004353D4"/>
    <w:rsid w:val="004443E2"/>
    <w:rsid w:val="0045087C"/>
    <w:rsid w:val="00460A41"/>
    <w:rsid w:val="00470140"/>
    <w:rsid w:val="004A0D48"/>
    <w:rsid w:val="004B1F87"/>
    <w:rsid w:val="00540249"/>
    <w:rsid w:val="005D34FE"/>
    <w:rsid w:val="005D60C3"/>
    <w:rsid w:val="005F3849"/>
    <w:rsid w:val="006154FC"/>
    <w:rsid w:val="006307D5"/>
    <w:rsid w:val="006817B2"/>
    <w:rsid w:val="00692317"/>
    <w:rsid w:val="006B218B"/>
    <w:rsid w:val="006B6D53"/>
    <w:rsid w:val="006C2318"/>
    <w:rsid w:val="00720465"/>
    <w:rsid w:val="00727B9F"/>
    <w:rsid w:val="00744E7B"/>
    <w:rsid w:val="00750A2D"/>
    <w:rsid w:val="00763E77"/>
    <w:rsid w:val="00772C9E"/>
    <w:rsid w:val="00797312"/>
    <w:rsid w:val="007A253D"/>
    <w:rsid w:val="007B1C0F"/>
    <w:rsid w:val="007D0726"/>
    <w:rsid w:val="008106D9"/>
    <w:rsid w:val="00835B53"/>
    <w:rsid w:val="00886EA5"/>
    <w:rsid w:val="00887137"/>
    <w:rsid w:val="008A1EDB"/>
    <w:rsid w:val="008B2FDE"/>
    <w:rsid w:val="008D1797"/>
    <w:rsid w:val="008E4E23"/>
    <w:rsid w:val="008E55A9"/>
    <w:rsid w:val="00947370"/>
    <w:rsid w:val="009810ED"/>
    <w:rsid w:val="009C52C4"/>
    <w:rsid w:val="009E36B3"/>
    <w:rsid w:val="00A314E1"/>
    <w:rsid w:val="00A70F28"/>
    <w:rsid w:val="00A725A3"/>
    <w:rsid w:val="00A770DF"/>
    <w:rsid w:val="00B33034"/>
    <w:rsid w:val="00B6181C"/>
    <w:rsid w:val="00B65349"/>
    <w:rsid w:val="00B75F44"/>
    <w:rsid w:val="00B941D9"/>
    <w:rsid w:val="00BA1F95"/>
    <w:rsid w:val="00BB1C3A"/>
    <w:rsid w:val="00BB3C7F"/>
    <w:rsid w:val="00BF41F7"/>
    <w:rsid w:val="00C10B06"/>
    <w:rsid w:val="00C734A1"/>
    <w:rsid w:val="00C8765A"/>
    <w:rsid w:val="00C972A0"/>
    <w:rsid w:val="00CA1F94"/>
    <w:rsid w:val="00CE6215"/>
    <w:rsid w:val="00D9378C"/>
    <w:rsid w:val="00DA483D"/>
    <w:rsid w:val="00DA4E1C"/>
    <w:rsid w:val="00DF3B8F"/>
    <w:rsid w:val="00E171AE"/>
    <w:rsid w:val="00E47EDF"/>
    <w:rsid w:val="00E8599D"/>
    <w:rsid w:val="00E90483"/>
    <w:rsid w:val="00EC02BF"/>
    <w:rsid w:val="00EC7C94"/>
    <w:rsid w:val="00F11316"/>
    <w:rsid w:val="00F427BF"/>
    <w:rsid w:val="00F9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40"/>
    <w:pPr>
      <w:spacing w:after="0" w:line="480" w:lineRule="auto"/>
      <w:jc w:val="both"/>
    </w:pPr>
    <w:rPr>
      <w:rFonts w:ascii="Century Schoolbook" w:hAnsi="Century Schoolbook"/>
      <w:sz w:val="28"/>
    </w:rPr>
  </w:style>
  <w:style w:type="paragraph" w:styleId="Heading1">
    <w:name w:val="heading 1"/>
    <w:basedOn w:val="Normal"/>
    <w:next w:val="Normal"/>
    <w:link w:val="Heading1Char"/>
    <w:uiPriority w:val="9"/>
    <w:qFormat/>
    <w:rsid w:val="00202B3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semiHidden/>
    <w:unhideWhenUsed/>
    <w:qFormat/>
    <w:rsid w:val="00202B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Blockquote">
    <w:name w:val="FN Block quote"/>
    <w:basedOn w:val="BlockQuote"/>
    <w:qFormat/>
    <w:rsid w:val="00202B39"/>
    <w:rPr>
      <w:sz w:val="26"/>
    </w:rPr>
  </w:style>
  <w:style w:type="paragraph" w:customStyle="1" w:styleId="FNBlockQuote0">
    <w:name w:val="FN Block Quote"/>
    <w:basedOn w:val="FootnoteText"/>
    <w:link w:val="FNBlockQuoteChar"/>
    <w:qFormat/>
    <w:rsid w:val="00202B39"/>
    <w:pPr>
      <w:ind w:left="720" w:right="720"/>
    </w:pPr>
  </w:style>
  <w:style w:type="character" w:customStyle="1" w:styleId="FNBlockQuoteChar">
    <w:name w:val="FN Block Quote Char"/>
    <w:basedOn w:val="FootnoteTextChar"/>
    <w:link w:val="FNBlockQuote0"/>
    <w:rsid w:val="00202B39"/>
    <w:rPr>
      <w:rFonts w:ascii="Century Schoolbook" w:hAnsi="Century Schoolbook" w:cs="Arial"/>
      <w:sz w:val="26"/>
      <w:szCs w:val="20"/>
    </w:rPr>
  </w:style>
  <w:style w:type="paragraph" w:styleId="FootnoteText">
    <w:name w:val="footnote text"/>
    <w:basedOn w:val="Normal"/>
    <w:link w:val="FootnoteTextChar"/>
    <w:uiPriority w:val="99"/>
    <w:unhideWhenUsed/>
    <w:qFormat/>
    <w:rsid w:val="00202B39"/>
    <w:pPr>
      <w:spacing w:after="120" w:line="240" w:lineRule="auto"/>
    </w:pPr>
    <w:rPr>
      <w:rFonts w:cs="Arial"/>
      <w:sz w:val="26"/>
      <w:szCs w:val="20"/>
    </w:rPr>
  </w:style>
  <w:style w:type="character" w:customStyle="1" w:styleId="FootnoteTextChar">
    <w:name w:val="Footnote Text Char"/>
    <w:basedOn w:val="DefaultParagraphFont"/>
    <w:link w:val="FootnoteText"/>
    <w:uiPriority w:val="99"/>
    <w:rsid w:val="00202B39"/>
    <w:rPr>
      <w:rFonts w:ascii="Century Schoolbook" w:hAnsi="Century Schoolbook" w:cs="Arial"/>
      <w:sz w:val="26"/>
      <w:szCs w:val="20"/>
    </w:rPr>
  </w:style>
  <w:style w:type="paragraph" w:customStyle="1" w:styleId="BlockQuote">
    <w:name w:val="Block Quote"/>
    <w:basedOn w:val="Normal"/>
    <w:link w:val="BlockQuoteChar"/>
    <w:qFormat/>
    <w:rsid w:val="00202B39"/>
    <w:pPr>
      <w:spacing w:line="240" w:lineRule="auto"/>
      <w:ind w:left="720" w:right="720"/>
    </w:pPr>
    <w:rPr>
      <w:szCs w:val="28"/>
    </w:rPr>
  </w:style>
  <w:style w:type="character" w:customStyle="1" w:styleId="BlockQuoteChar">
    <w:name w:val="Block Quote Char"/>
    <w:basedOn w:val="DefaultParagraphFont"/>
    <w:link w:val="BlockQuote"/>
    <w:rsid w:val="00202B39"/>
    <w:rPr>
      <w:rFonts w:ascii="Century Schoolbook" w:hAnsi="Century Schoolbook"/>
      <w:sz w:val="28"/>
      <w:szCs w:val="28"/>
    </w:rPr>
  </w:style>
  <w:style w:type="paragraph" w:customStyle="1" w:styleId="Heading10">
    <w:name w:val="Heading1"/>
    <w:basedOn w:val="TOC1"/>
    <w:link w:val="Heading1Char0"/>
    <w:qFormat/>
    <w:rsid w:val="00202B39"/>
    <w:pPr>
      <w:spacing w:after="0" w:line="240" w:lineRule="auto"/>
      <w:jc w:val="center"/>
    </w:pPr>
    <w:rPr>
      <w:b/>
      <w:szCs w:val="28"/>
      <w:u w:val="single"/>
    </w:rPr>
  </w:style>
  <w:style w:type="character" w:customStyle="1" w:styleId="Heading1Char0">
    <w:name w:val="Heading1 Char"/>
    <w:basedOn w:val="DefaultParagraphFont"/>
    <w:link w:val="Heading10"/>
    <w:rsid w:val="00202B39"/>
    <w:rPr>
      <w:rFonts w:ascii="Century Schoolbook" w:hAnsi="Century Schoolbook"/>
      <w:b/>
      <w:sz w:val="28"/>
      <w:szCs w:val="28"/>
      <w:u w:val="single"/>
    </w:rPr>
  </w:style>
  <w:style w:type="paragraph" w:styleId="TOC1">
    <w:name w:val="toc 1"/>
    <w:basedOn w:val="Normal"/>
    <w:next w:val="Normal"/>
    <w:autoRedefine/>
    <w:uiPriority w:val="39"/>
    <w:semiHidden/>
    <w:unhideWhenUsed/>
    <w:rsid w:val="00202B39"/>
    <w:pPr>
      <w:spacing w:after="100"/>
    </w:pPr>
  </w:style>
  <w:style w:type="paragraph" w:customStyle="1" w:styleId="Heading2">
    <w:name w:val="Heading2"/>
    <w:basedOn w:val="TOC2"/>
    <w:link w:val="Heading2Char"/>
    <w:qFormat/>
    <w:rsid w:val="00202B39"/>
    <w:pPr>
      <w:spacing w:after="0" w:line="240" w:lineRule="auto"/>
      <w:ind w:left="720" w:hanging="720"/>
    </w:pPr>
    <w:rPr>
      <w:b/>
      <w:szCs w:val="28"/>
    </w:rPr>
  </w:style>
  <w:style w:type="character" w:customStyle="1" w:styleId="Heading2Char">
    <w:name w:val="Heading2 Char"/>
    <w:basedOn w:val="DefaultParagraphFont"/>
    <w:link w:val="Heading2"/>
    <w:rsid w:val="00202B39"/>
    <w:rPr>
      <w:rFonts w:ascii="Century Schoolbook" w:hAnsi="Century Schoolbook"/>
      <w:b/>
      <w:sz w:val="28"/>
      <w:szCs w:val="28"/>
    </w:rPr>
  </w:style>
  <w:style w:type="paragraph" w:styleId="TOC2">
    <w:name w:val="toc 2"/>
    <w:basedOn w:val="Normal"/>
    <w:next w:val="Normal"/>
    <w:autoRedefine/>
    <w:uiPriority w:val="39"/>
    <w:semiHidden/>
    <w:unhideWhenUsed/>
    <w:rsid w:val="00202B39"/>
    <w:pPr>
      <w:spacing w:after="100"/>
      <w:ind w:left="280"/>
    </w:pPr>
  </w:style>
  <w:style w:type="paragraph" w:customStyle="1" w:styleId="Heading30">
    <w:name w:val="Heading3"/>
    <w:basedOn w:val="TOC3"/>
    <w:next w:val="Normal"/>
    <w:link w:val="Heading3Char0"/>
    <w:qFormat/>
    <w:rsid w:val="00202B39"/>
    <w:pPr>
      <w:spacing w:after="0" w:line="240" w:lineRule="auto"/>
      <w:ind w:left="1440" w:hanging="720"/>
    </w:pPr>
    <w:rPr>
      <w:b/>
    </w:rPr>
  </w:style>
  <w:style w:type="character" w:customStyle="1" w:styleId="Heading3Char0">
    <w:name w:val="Heading3 Char"/>
    <w:basedOn w:val="DefaultParagraphFont"/>
    <w:link w:val="Heading30"/>
    <w:rsid w:val="00202B39"/>
    <w:rPr>
      <w:rFonts w:ascii="Century Schoolbook" w:hAnsi="Century Schoolbook"/>
      <w:b/>
      <w:sz w:val="28"/>
    </w:rPr>
  </w:style>
  <w:style w:type="paragraph" w:styleId="TOC3">
    <w:name w:val="toc 3"/>
    <w:basedOn w:val="Normal"/>
    <w:next w:val="Normal"/>
    <w:autoRedefine/>
    <w:uiPriority w:val="39"/>
    <w:semiHidden/>
    <w:unhideWhenUsed/>
    <w:rsid w:val="00202B39"/>
    <w:pPr>
      <w:spacing w:after="100"/>
      <w:ind w:left="560"/>
    </w:pPr>
  </w:style>
  <w:style w:type="paragraph" w:customStyle="1" w:styleId="Heading4">
    <w:name w:val="Heading4"/>
    <w:basedOn w:val="TOC4"/>
    <w:next w:val="Normal"/>
    <w:link w:val="Heading4Char"/>
    <w:qFormat/>
    <w:rsid w:val="00202B39"/>
    <w:pPr>
      <w:autoSpaceDE w:val="0"/>
      <w:autoSpaceDN w:val="0"/>
      <w:adjustRightInd w:val="0"/>
      <w:spacing w:after="0" w:line="240" w:lineRule="auto"/>
      <w:ind w:left="2880" w:hanging="720"/>
    </w:pPr>
    <w:rPr>
      <w:b/>
      <w:szCs w:val="28"/>
    </w:rPr>
  </w:style>
  <w:style w:type="character" w:customStyle="1" w:styleId="Heading4Char">
    <w:name w:val="Heading4 Char"/>
    <w:basedOn w:val="DefaultParagraphFont"/>
    <w:link w:val="Heading4"/>
    <w:rsid w:val="00202B39"/>
    <w:rPr>
      <w:rFonts w:ascii="Century Schoolbook" w:hAnsi="Century Schoolbook"/>
      <w:b/>
      <w:sz w:val="28"/>
      <w:szCs w:val="28"/>
    </w:rPr>
  </w:style>
  <w:style w:type="paragraph" w:styleId="TOC4">
    <w:name w:val="toc 4"/>
    <w:basedOn w:val="Normal"/>
    <w:next w:val="Normal"/>
    <w:autoRedefine/>
    <w:uiPriority w:val="39"/>
    <w:semiHidden/>
    <w:unhideWhenUsed/>
    <w:rsid w:val="00202B39"/>
    <w:pPr>
      <w:spacing w:after="100"/>
      <w:ind w:left="840"/>
    </w:pPr>
  </w:style>
  <w:style w:type="character" w:customStyle="1" w:styleId="Heading1Char">
    <w:name w:val="Heading 1 Char"/>
    <w:basedOn w:val="DefaultParagraphFont"/>
    <w:link w:val="Heading1"/>
    <w:uiPriority w:val="9"/>
    <w:rsid w:val="00202B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02B39"/>
    <w:rPr>
      <w:rFonts w:asciiTheme="majorHAnsi" w:eastAsiaTheme="majorEastAsia" w:hAnsiTheme="majorHAnsi" w:cstheme="majorBidi"/>
      <w:b/>
      <w:bCs/>
      <w:color w:val="4F81BD" w:themeColor="accent1"/>
      <w:sz w:val="28"/>
    </w:rPr>
  </w:style>
  <w:style w:type="character" w:styleId="Hyperlink">
    <w:name w:val="Hyperlink"/>
    <w:basedOn w:val="DefaultParagraphFont"/>
    <w:uiPriority w:val="99"/>
    <w:unhideWhenUsed/>
    <w:qFormat/>
    <w:rsid w:val="00202B39"/>
    <w:rPr>
      <w:color w:val="0000FF" w:themeColor="hyperlink"/>
      <w:u w:val="single"/>
    </w:rPr>
  </w:style>
  <w:style w:type="character" w:styleId="Emphasis">
    <w:name w:val="Emphasis"/>
    <w:basedOn w:val="DefaultParagraphFont"/>
    <w:uiPriority w:val="20"/>
    <w:qFormat/>
    <w:rsid w:val="00202B39"/>
    <w:rPr>
      <w:i/>
      <w:iCs/>
    </w:rPr>
  </w:style>
  <w:style w:type="paragraph" w:styleId="NoSpacing">
    <w:name w:val="No Spacing"/>
    <w:uiPriority w:val="1"/>
    <w:qFormat/>
    <w:rsid w:val="00202B39"/>
    <w:pPr>
      <w:widowControl w:val="0"/>
      <w:overflowPunct w:val="0"/>
      <w:autoSpaceDE w:val="0"/>
      <w:autoSpaceDN w:val="0"/>
      <w:adjustRightInd w:val="0"/>
      <w:spacing w:after="0" w:line="240" w:lineRule="auto"/>
      <w:jc w:val="both"/>
      <w:textAlignment w:val="baseline"/>
    </w:pPr>
    <w:rPr>
      <w:rFonts w:ascii="Century Schoolbook" w:hAnsi="Century Schoolbook" w:cs="Times New Roman"/>
      <w:sz w:val="28"/>
      <w:szCs w:val="20"/>
    </w:rPr>
  </w:style>
  <w:style w:type="paragraph" w:styleId="TOCHeading">
    <w:name w:val="TOC Heading"/>
    <w:basedOn w:val="Heading1"/>
    <w:next w:val="Normal"/>
    <w:uiPriority w:val="39"/>
    <w:semiHidden/>
    <w:unhideWhenUsed/>
    <w:qFormat/>
    <w:rsid w:val="00202B39"/>
    <w:pPr>
      <w:outlineLvl w:val="9"/>
    </w:pPr>
  </w:style>
  <w:style w:type="paragraph" w:styleId="EndnoteText">
    <w:name w:val="endnote text"/>
    <w:basedOn w:val="Normal"/>
    <w:link w:val="EndnoteTextChar"/>
    <w:uiPriority w:val="99"/>
    <w:semiHidden/>
    <w:unhideWhenUsed/>
    <w:rsid w:val="00413040"/>
    <w:pPr>
      <w:spacing w:line="240" w:lineRule="auto"/>
    </w:pPr>
    <w:rPr>
      <w:sz w:val="20"/>
      <w:szCs w:val="20"/>
    </w:rPr>
  </w:style>
  <w:style w:type="character" w:customStyle="1" w:styleId="EndnoteTextChar">
    <w:name w:val="Endnote Text Char"/>
    <w:basedOn w:val="DefaultParagraphFont"/>
    <w:link w:val="EndnoteText"/>
    <w:uiPriority w:val="99"/>
    <w:semiHidden/>
    <w:rsid w:val="00413040"/>
    <w:rPr>
      <w:rFonts w:ascii="Century Schoolbook" w:hAnsi="Century Schoolbook"/>
      <w:sz w:val="20"/>
      <w:szCs w:val="20"/>
    </w:rPr>
  </w:style>
  <w:style w:type="character" w:styleId="EndnoteReference">
    <w:name w:val="endnote reference"/>
    <w:basedOn w:val="DefaultParagraphFont"/>
    <w:uiPriority w:val="99"/>
    <w:semiHidden/>
    <w:unhideWhenUsed/>
    <w:rsid w:val="00413040"/>
    <w:rPr>
      <w:vertAlign w:val="superscript"/>
    </w:rPr>
  </w:style>
  <w:style w:type="paragraph" w:styleId="Header">
    <w:name w:val="header"/>
    <w:basedOn w:val="Normal"/>
    <w:link w:val="HeaderChar"/>
    <w:uiPriority w:val="99"/>
    <w:unhideWhenUsed/>
    <w:rsid w:val="00A314E1"/>
    <w:pPr>
      <w:tabs>
        <w:tab w:val="center" w:pos="4680"/>
        <w:tab w:val="right" w:pos="9360"/>
      </w:tabs>
      <w:spacing w:line="240" w:lineRule="auto"/>
    </w:pPr>
  </w:style>
  <w:style w:type="character" w:customStyle="1" w:styleId="HeaderChar">
    <w:name w:val="Header Char"/>
    <w:basedOn w:val="DefaultParagraphFont"/>
    <w:link w:val="Header"/>
    <w:uiPriority w:val="99"/>
    <w:rsid w:val="00A314E1"/>
    <w:rPr>
      <w:rFonts w:ascii="Century Schoolbook" w:hAnsi="Century Schoolbook"/>
      <w:sz w:val="28"/>
    </w:rPr>
  </w:style>
  <w:style w:type="paragraph" w:styleId="Footer">
    <w:name w:val="footer"/>
    <w:basedOn w:val="Normal"/>
    <w:link w:val="FooterChar"/>
    <w:uiPriority w:val="99"/>
    <w:unhideWhenUsed/>
    <w:rsid w:val="00A314E1"/>
    <w:pPr>
      <w:tabs>
        <w:tab w:val="center" w:pos="4680"/>
        <w:tab w:val="right" w:pos="9360"/>
      </w:tabs>
      <w:spacing w:line="240" w:lineRule="auto"/>
    </w:pPr>
  </w:style>
  <w:style w:type="character" w:customStyle="1" w:styleId="FooterChar">
    <w:name w:val="Footer Char"/>
    <w:basedOn w:val="DefaultParagraphFont"/>
    <w:link w:val="Footer"/>
    <w:uiPriority w:val="99"/>
    <w:rsid w:val="00A314E1"/>
    <w:rPr>
      <w:rFonts w:ascii="Century Schoolbook" w:hAnsi="Century Schoolbook"/>
      <w:sz w:val="28"/>
    </w:rPr>
  </w:style>
  <w:style w:type="character" w:styleId="FootnoteReference">
    <w:name w:val="footnote reference"/>
    <w:basedOn w:val="DefaultParagraphFont"/>
    <w:uiPriority w:val="99"/>
    <w:semiHidden/>
    <w:unhideWhenUsed/>
    <w:rsid w:val="006154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40"/>
    <w:pPr>
      <w:spacing w:after="0" w:line="480" w:lineRule="auto"/>
      <w:jc w:val="both"/>
    </w:pPr>
    <w:rPr>
      <w:rFonts w:ascii="Century Schoolbook" w:hAnsi="Century Schoolbook"/>
      <w:sz w:val="28"/>
    </w:rPr>
  </w:style>
  <w:style w:type="paragraph" w:styleId="Heading1">
    <w:name w:val="heading 1"/>
    <w:basedOn w:val="Normal"/>
    <w:next w:val="Normal"/>
    <w:link w:val="Heading1Char"/>
    <w:uiPriority w:val="9"/>
    <w:qFormat/>
    <w:rsid w:val="00202B3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semiHidden/>
    <w:unhideWhenUsed/>
    <w:qFormat/>
    <w:rsid w:val="00202B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Blockquote">
    <w:name w:val="FN Block quote"/>
    <w:basedOn w:val="BlockQuote"/>
    <w:qFormat/>
    <w:rsid w:val="00202B39"/>
    <w:rPr>
      <w:sz w:val="26"/>
    </w:rPr>
  </w:style>
  <w:style w:type="paragraph" w:customStyle="1" w:styleId="FNBlockQuote0">
    <w:name w:val="FN Block Quote"/>
    <w:basedOn w:val="FootnoteText"/>
    <w:link w:val="FNBlockQuoteChar"/>
    <w:qFormat/>
    <w:rsid w:val="00202B39"/>
    <w:pPr>
      <w:ind w:left="720" w:right="720"/>
    </w:pPr>
  </w:style>
  <w:style w:type="character" w:customStyle="1" w:styleId="FNBlockQuoteChar">
    <w:name w:val="FN Block Quote Char"/>
    <w:basedOn w:val="FootnoteTextChar"/>
    <w:link w:val="FNBlockQuote0"/>
    <w:rsid w:val="00202B39"/>
    <w:rPr>
      <w:rFonts w:ascii="Century Schoolbook" w:hAnsi="Century Schoolbook" w:cs="Arial"/>
      <w:sz w:val="26"/>
      <w:szCs w:val="20"/>
    </w:rPr>
  </w:style>
  <w:style w:type="paragraph" w:styleId="FootnoteText">
    <w:name w:val="footnote text"/>
    <w:basedOn w:val="Normal"/>
    <w:link w:val="FootnoteTextChar"/>
    <w:uiPriority w:val="99"/>
    <w:unhideWhenUsed/>
    <w:qFormat/>
    <w:rsid w:val="00202B39"/>
    <w:pPr>
      <w:spacing w:after="120" w:line="240" w:lineRule="auto"/>
    </w:pPr>
    <w:rPr>
      <w:rFonts w:cs="Arial"/>
      <w:sz w:val="26"/>
      <w:szCs w:val="20"/>
    </w:rPr>
  </w:style>
  <w:style w:type="character" w:customStyle="1" w:styleId="FootnoteTextChar">
    <w:name w:val="Footnote Text Char"/>
    <w:basedOn w:val="DefaultParagraphFont"/>
    <w:link w:val="FootnoteText"/>
    <w:uiPriority w:val="99"/>
    <w:rsid w:val="00202B39"/>
    <w:rPr>
      <w:rFonts w:ascii="Century Schoolbook" w:hAnsi="Century Schoolbook" w:cs="Arial"/>
      <w:sz w:val="26"/>
      <w:szCs w:val="20"/>
    </w:rPr>
  </w:style>
  <w:style w:type="paragraph" w:customStyle="1" w:styleId="BlockQuote">
    <w:name w:val="Block Quote"/>
    <w:basedOn w:val="Normal"/>
    <w:link w:val="BlockQuoteChar"/>
    <w:qFormat/>
    <w:rsid w:val="00202B39"/>
    <w:pPr>
      <w:spacing w:line="240" w:lineRule="auto"/>
      <w:ind w:left="720" w:right="720"/>
    </w:pPr>
    <w:rPr>
      <w:szCs w:val="28"/>
    </w:rPr>
  </w:style>
  <w:style w:type="character" w:customStyle="1" w:styleId="BlockQuoteChar">
    <w:name w:val="Block Quote Char"/>
    <w:basedOn w:val="DefaultParagraphFont"/>
    <w:link w:val="BlockQuote"/>
    <w:rsid w:val="00202B39"/>
    <w:rPr>
      <w:rFonts w:ascii="Century Schoolbook" w:hAnsi="Century Schoolbook"/>
      <w:sz w:val="28"/>
      <w:szCs w:val="28"/>
    </w:rPr>
  </w:style>
  <w:style w:type="paragraph" w:customStyle="1" w:styleId="Heading10">
    <w:name w:val="Heading1"/>
    <w:basedOn w:val="TOC1"/>
    <w:link w:val="Heading1Char0"/>
    <w:qFormat/>
    <w:rsid w:val="00202B39"/>
    <w:pPr>
      <w:spacing w:after="0" w:line="240" w:lineRule="auto"/>
      <w:jc w:val="center"/>
    </w:pPr>
    <w:rPr>
      <w:b/>
      <w:szCs w:val="28"/>
      <w:u w:val="single"/>
    </w:rPr>
  </w:style>
  <w:style w:type="character" w:customStyle="1" w:styleId="Heading1Char0">
    <w:name w:val="Heading1 Char"/>
    <w:basedOn w:val="DefaultParagraphFont"/>
    <w:link w:val="Heading10"/>
    <w:rsid w:val="00202B39"/>
    <w:rPr>
      <w:rFonts w:ascii="Century Schoolbook" w:hAnsi="Century Schoolbook"/>
      <w:b/>
      <w:sz w:val="28"/>
      <w:szCs w:val="28"/>
      <w:u w:val="single"/>
    </w:rPr>
  </w:style>
  <w:style w:type="paragraph" w:styleId="TOC1">
    <w:name w:val="toc 1"/>
    <w:basedOn w:val="Normal"/>
    <w:next w:val="Normal"/>
    <w:autoRedefine/>
    <w:uiPriority w:val="39"/>
    <w:semiHidden/>
    <w:unhideWhenUsed/>
    <w:rsid w:val="00202B39"/>
    <w:pPr>
      <w:spacing w:after="100"/>
    </w:pPr>
  </w:style>
  <w:style w:type="paragraph" w:customStyle="1" w:styleId="Heading2">
    <w:name w:val="Heading2"/>
    <w:basedOn w:val="TOC2"/>
    <w:link w:val="Heading2Char"/>
    <w:qFormat/>
    <w:rsid w:val="00202B39"/>
    <w:pPr>
      <w:spacing w:after="0" w:line="240" w:lineRule="auto"/>
      <w:ind w:left="720" w:hanging="720"/>
    </w:pPr>
    <w:rPr>
      <w:b/>
      <w:szCs w:val="28"/>
    </w:rPr>
  </w:style>
  <w:style w:type="character" w:customStyle="1" w:styleId="Heading2Char">
    <w:name w:val="Heading2 Char"/>
    <w:basedOn w:val="DefaultParagraphFont"/>
    <w:link w:val="Heading2"/>
    <w:rsid w:val="00202B39"/>
    <w:rPr>
      <w:rFonts w:ascii="Century Schoolbook" w:hAnsi="Century Schoolbook"/>
      <w:b/>
      <w:sz w:val="28"/>
      <w:szCs w:val="28"/>
    </w:rPr>
  </w:style>
  <w:style w:type="paragraph" w:styleId="TOC2">
    <w:name w:val="toc 2"/>
    <w:basedOn w:val="Normal"/>
    <w:next w:val="Normal"/>
    <w:autoRedefine/>
    <w:uiPriority w:val="39"/>
    <w:semiHidden/>
    <w:unhideWhenUsed/>
    <w:rsid w:val="00202B39"/>
    <w:pPr>
      <w:spacing w:after="100"/>
      <w:ind w:left="280"/>
    </w:pPr>
  </w:style>
  <w:style w:type="paragraph" w:customStyle="1" w:styleId="Heading30">
    <w:name w:val="Heading3"/>
    <w:basedOn w:val="TOC3"/>
    <w:next w:val="Normal"/>
    <w:link w:val="Heading3Char0"/>
    <w:qFormat/>
    <w:rsid w:val="00202B39"/>
    <w:pPr>
      <w:spacing w:after="0" w:line="240" w:lineRule="auto"/>
      <w:ind w:left="1440" w:hanging="720"/>
    </w:pPr>
    <w:rPr>
      <w:b/>
    </w:rPr>
  </w:style>
  <w:style w:type="character" w:customStyle="1" w:styleId="Heading3Char0">
    <w:name w:val="Heading3 Char"/>
    <w:basedOn w:val="DefaultParagraphFont"/>
    <w:link w:val="Heading30"/>
    <w:rsid w:val="00202B39"/>
    <w:rPr>
      <w:rFonts w:ascii="Century Schoolbook" w:hAnsi="Century Schoolbook"/>
      <w:b/>
      <w:sz w:val="28"/>
    </w:rPr>
  </w:style>
  <w:style w:type="paragraph" w:styleId="TOC3">
    <w:name w:val="toc 3"/>
    <w:basedOn w:val="Normal"/>
    <w:next w:val="Normal"/>
    <w:autoRedefine/>
    <w:uiPriority w:val="39"/>
    <w:semiHidden/>
    <w:unhideWhenUsed/>
    <w:rsid w:val="00202B39"/>
    <w:pPr>
      <w:spacing w:after="100"/>
      <w:ind w:left="560"/>
    </w:pPr>
  </w:style>
  <w:style w:type="paragraph" w:customStyle="1" w:styleId="Heading4">
    <w:name w:val="Heading4"/>
    <w:basedOn w:val="TOC4"/>
    <w:next w:val="Normal"/>
    <w:link w:val="Heading4Char"/>
    <w:qFormat/>
    <w:rsid w:val="00202B39"/>
    <w:pPr>
      <w:autoSpaceDE w:val="0"/>
      <w:autoSpaceDN w:val="0"/>
      <w:adjustRightInd w:val="0"/>
      <w:spacing w:after="0" w:line="240" w:lineRule="auto"/>
      <w:ind w:left="2880" w:hanging="720"/>
    </w:pPr>
    <w:rPr>
      <w:b/>
      <w:szCs w:val="28"/>
    </w:rPr>
  </w:style>
  <w:style w:type="character" w:customStyle="1" w:styleId="Heading4Char">
    <w:name w:val="Heading4 Char"/>
    <w:basedOn w:val="DefaultParagraphFont"/>
    <w:link w:val="Heading4"/>
    <w:rsid w:val="00202B39"/>
    <w:rPr>
      <w:rFonts w:ascii="Century Schoolbook" w:hAnsi="Century Schoolbook"/>
      <w:b/>
      <w:sz w:val="28"/>
      <w:szCs w:val="28"/>
    </w:rPr>
  </w:style>
  <w:style w:type="paragraph" w:styleId="TOC4">
    <w:name w:val="toc 4"/>
    <w:basedOn w:val="Normal"/>
    <w:next w:val="Normal"/>
    <w:autoRedefine/>
    <w:uiPriority w:val="39"/>
    <w:semiHidden/>
    <w:unhideWhenUsed/>
    <w:rsid w:val="00202B39"/>
    <w:pPr>
      <w:spacing w:after="100"/>
      <w:ind w:left="840"/>
    </w:pPr>
  </w:style>
  <w:style w:type="character" w:customStyle="1" w:styleId="Heading1Char">
    <w:name w:val="Heading 1 Char"/>
    <w:basedOn w:val="DefaultParagraphFont"/>
    <w:link w:val="Heading1"/>
    <w:uiPriority w:val="9"/>
    <w:rsid w:val="00202B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02B39"/>
    <w:rPr>
      <w:rFonts w:asciiTheme="majorHAnsi" w:eastAsiaTheme="majorEastAsia" w:hAnsiTheme="majorHAnsi" w:cstheme="majorBidi"/>
      <w:b/>
      <w:bCs/>
      <w:color w:val="4F81BD" w:themeColor="accent1"/>
      <w:sz w:val="28"/>
    </w:rPr>
  </w:style>
  <w:style w:type="character" w:styleId="Hyperlink">
    <w:name w:val="Hyperlink"/>
    <w:basedOn w:val="DefaultParagraphFont"/>
    <w:uiPriority w:val="99"/>
    <w:unhideWhenUsed/>
    <w:qFormat/>
    <w:rsid w:val="00202B39"/>
    <w:rPr>
      <w:color w:val="0000FF" w:themeColor="hyperlink"/>
      <w:u w:val="single"/>
    </w:rPr>
  </w:style>
  <w:style w:type="character" w:styleId="Emphasis">
    <w:name w:val="Emphasis"/>
    <w:basedOn w:val="DefaultParagraphFont"/>
    <w:uiPriority w:val="20"/>
    <w:qFormat/>
    <w:rsid w:val="00202B39"/>
    <w:rPr>
      <w:i/>
      <w:iCs/>
    </w:rPr>
  </w:style>
  <w:style w:type="paragraph" w:styleId="NoSpacing">
    <w:name w:val="No Spacing"/>
    <w:uiPriority w:val="1"/>
    <w:qFormat/>
    <w:rsid w:val="00202B39"/>
    <w:pPr>
      <w:widowControl w:val="0"/>
      <w:overflowPunct w:val="0"/>
      <w:autoSpaceDE w:val="0"/>
      <w:autoSpaceDN w:val="0"/>
      <w:adjustRightInd w:val="0"/>
      <w:spacing w:after="0" w:line="240" w:lineRule="auto"/>
      <w:jc w:val="both"/>
      <w:textAlignment w:val="baseline"/>
    </w:pPr>
    <w:rPr>
      <w:rFonts w:ascii="Century Schoolbook" w:hAnsi="Century Schoolbook" w:cs="Times New Roman"/>
      <w:sz w:val="28"/>
      <w:szCs w:val="20"/>
    </w:rPr>
  </w:style>
  <w:style w:type="paragraph" w:styleId="TOCHeading">
    <w:name w:val="TOC Heading"/>
    <w:basedOn w:val="Heading1"/>
    <w:next w:val="Normal"/>
    <w:uiPriority w:val="39"/>
    <w:semiHidden/>
    <w:unhideWhenUsed/>
    <w:qFormat/>
    <w:rsid w:val="00202B39"/>
    <w:pPr>
      <w:outlineLvl w:val="9"/>
    </w:pPr>
  </w:style>
  <w:style w:type="paragraph" w:styleId="EndnoteText">
    <w:name w:val="endnote text"/>
    <w:basedOn w:val="Normal"/>
    <w:link w:val="EndnoteTextChar"/>
    <w:uiPriority w:val="99"/>
    <w:semiHidden/>
    <w:unhideWhenUsed/>
    <w:rsid w:val="00413040"/>
    <w:pPr>
      <w:spacing w:line="240" w:lineRule="auto"/>
    </w:pPr>
    <w:rPr>
      <w:sz w:val="20"/>
      <w:szCs w:val="20"/>
    </w:rPr>
  </w:style>
  <w:style w:type="character" w:customStyle="1" w:styleId="EndnoteTextChar">
    <w:name w:val="Endnote Text Char"/>
    <w:basedOn w:val="DefaultParagraphFont"/>
    <w:link w:val="EndnoteText"/>
    <w:uiPriority w:val="99"/>
    <w:semiHidden/>
    <w:rsid w:val="00413040"/>
    <w:rPr>
      <w:rFonts w:ascii="Century Schoolbook" w:hAnsi="Century Schoolbook"/>
      <w:sz w:val="20"/>
      <w:szCs w:val="20"/>
    </w:rPr>
  </w:style>
  <w:style w:type="character" w:styleId="EndnoteReference">
    <w:name w:val="endnote reference"/>
    <w:basedOn w:val="DefaultParagraphFont"/>
    <w:uiPriority w:val="99"/>
    <w:semiHidden/>
    <w:unhideWhenUsed/>
    <w:rsid w:val="00413040"/>
    <w:rPr>
      <w:vertAlign w:val="superscript"/>
    </w:rPr>
  </w:style>
  <w:style w:type="paragraph" w:styleId="Header">
    <w:name w:val="header"/>
    <w:basedOn w:val="Normal"/>
    <w:link w:val="HeaderChar"/>
    <w:uiPriority w:val="99"/>
    <w:unhideWhenUsed/>
    <w:rsid w:val="00A314E1"/>
    <w:pPr>
      <w:tabs>
        <w:tab w:val="center" w:pos="4680"/>
        <w:tab w:val="right" w:pos="9360"/>
      </w:tabs>
      <w:spacing w:line="240" w:lineRule="auto"/>
    </w:pPr>
  </w:style>
  <w:style w:type="character" w:customStyle="1" w:styleId="HeaderChar">
    <w:name w:val="Header Char"/>
    <w:basedOn w:val="DefaultParagraphFont"/>
    <w:link w:val="Header"/>
    <w:uiPriority w:val="99"/>
    <w:rsid w:val="00A314E1"/>
    <w:rPr>
      <w:rFonts w:ascii="Century Schoolbook" w:hAnsi="Century Schoolbook"/>
      <w:sz w:val="28"/>
    </w:rPr>
  </w:style>
  <w:style w:type="paragraph" w:styleId="Footer">
    <w:name w:val="footer"/>
    <w:basedOn w:val="Normal"/>
    <w:link w:val="FooterChar"/>
    <w:uiPriority w:val="99"/>
    <w:unhideWhenUsed/>
    <w:rsid w:val="00A314E1"/>
    <w:pPr>
      <w:tabs>
        <w:tab w:val="center" w:pos="4680"/>
        <w:tab w:val="right" w:pos="9360"/>
      </w:tabs>
      <w:spacing w:line="240" w:lineRule="auto"/>
    </w:pPr>
  </w:style>
  <w:style w:type="character" w:customStyle="1" w:styleId="FooterChar">
    <w:name w:val="Footer Char"/>
    <w:basedOn w:val="DefaultParagraphFont"/>
    <w:link w:val="Footer"/>
    <w:uiPriority w:val="99"/>
    <w:rsid w:val="00A314E1"/>
    <w:rPr>
      <w:rFonts w:ascii="Century Schoolbook" w:hAnsi="Century Schoolbook"/>
      <w:sz w:val="28"/>
    </w:rPr>
  </w:style>
  <w:style w:type="character" w:styleId="FootnoteReference">
    <w:name w:val="footnote reference"/>
    <w:basedOn w:val="DefaultParagraphFont"/>
    <w:uiPriority w:val="99"/>
    <w:semiHidden/>
    <w:unhideWhenUsed/>
    <w:rsid w:val="00615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3667">
      <w:bodyDiv w:val="1"/>
      <w:marLeft w:val="0"/>
      <w:marRight w:val="0"/>
      <w:marTop w:val="0"/>
      <w:marBottom w:val="0"/>
      <w:divBdr>
        <w:top w:val="none" w:sz="0" w:space="0" w:color="auto"/>
        <w:left w:val="none" w:sz="0" w:space="0" w:color="auto"/>
        <w:bottom w:val="none" w:sz="0" w:space="0" w:color="auto"/>
        <w:right w:val="none" w:sz="0" w:space="0" w:color="auto"/>
      </w:divBdr>
      <w:divsChild>
        <w:div w:id="1239750621">
          <w:marLeft w:val="0"/>
          <w:marRight w:val="0"/>
          <w:marTop w:val="0"/>
          <w:marBottom w:val="0"/>
          <w:divBdr>
            <w:top w:val="none" w:sz="0" w:space="0" w:color="auto"/>
            <w:left w:val="none" w:sz="0" w:space="0" w:color="auto"/>
            <w:bottom w:val="none" w:sz="0" w:space="0" w:color="auto"/>
            <w:right w:val="none" w:sz="0" w:space="0" w:color="auto"/>
          </w:divBdr>
          <w:divsChild>
            <w:div w:id="21011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2898">
      <w:bodyDiv w:val="1"/>
      <w:marLeft w:val="0"/>
      <w:marRight w:val="0"/>
      <w:marTop w:val="0"/>
      <w:marBottom w:val="0"/>
      <w:divBdr>
        <w:top w:val="none" w:sz="0" w:space="0" w:color="auto"/>
        <w:left w:val="none" w:sz="0" w:space="0" w:color="auto"/>
        <w:bottom w:val="none" w:sz="0" w:space="0" w:color="auto"/>
        <w:right w:val="none" w:sz="0" w:space="0" w:color="auto"/>
      </w:divBdr>
      <w:divsChild>
        <w:div w:id="1067612272">
          <w:marLeft w:val="0"/>
          <w:marRight w:val="0"/>
          <w:marTop w:val="0"/>
          <w:marBottom w:val="0"/>
          <w:divBdr>
            <w:top w:val="none" w:sz="0" w:space="0" w:color="auto"/>
            <w:left w:val="none" w:sz="0" w:space="0" w:color="auto"/>
            <w:bottom w:val="none" w:sz="0" w:space="0" w:color="auto"/>
            <w:right w:val="none" w:sz="0" w:space="0" w:color="auto"/>
          </w:divBdr>
          <w:divsChild>
            <w:div w:id="19786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5847">
      <w:bodyDiv w:val="1"/>
      <w:marLeft w:val="0"/>
      <w:marRight w:val="0"/>
      <w:marTop w:val="0"/>
      <w:marBottom w:val="0"/>
      <w:divBdr>
        <w:top w:val="none" w:sz="0" w:space="0" w:color="auto"/>
        <w:left w:val="none" w:sz="0" w:space="0" w:color="auto"/>
        <w:bottom w:val="none" w:sz="0" w:space="0" w:color="auto"/>
        <w:right w:val="none" w:sz="0" w:space="0" w:color="auto"/>
      </w:divBdr>
      <w:divsChild>
        <w:div w:id="1031303036">
          <w:marLeft w:val="0"/>
          <w:marRight w:val="0"/>
          <w:marTop w:val="0"/>
          <w:marBottom w:val="0"/>
          <w:divBdr>
            <w:top w:val="none" w:sz="0" w:space="0" w:color="auto"/>
            <w:left w:val="none" w:sz="0" w:space="0" w:color="auto"/>
            <w:bottom w:val="none" w:sz="0" w:space="0" w:color="auto"/>
            <w:right w:val="none" w:sz="0" w:space="0" w:color="auto"/>
          </w:divBdr>
          <w:divsChild>
            <w:div w:id="2159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1476">
      <w:bodyDiv w:val="1"/>
      <w:marLeft w:val="0"/>
      <w:marRight w:val="0"/>
      <w:marTop w:val="0"/>
      <w:marBottom w:val="0"/>
      <w:divBdr>
        <w:top w:val="none" w:sz="0" w:space="0" w:color="auto"/>
        <w:left w:val="none" w:sz="0" w:space="0" w:color="auto"/>
        <w:bottom w:val="none" w:sz="0" w:space="0" w:color="auto"/>
        <w:right w:val="none" w:sz="0" w:space="0" w:color="auto"/>
      </w:divBdr>
      <w:divsChild>
        <w:div w:id="60256838">
          <w:marLeft w:val="0"/>
          <w:marRight w:val="0"/>
          <w:marTop w:val="0"/>
          <w:marBottom w:val="0"/>
          <w:divBdr>
            <w:top w:val="none" w:sz="0" w:space="0" w:color="auto"/>
            <w:left w:val="none" w:sz="0" w:space="0" w:color="auto"/>
            <w:bottom w:val="none" w:sz="0" w:space="0" w:color="auto"/>
            <w:right w:val="none" w:sz="0" w:space="0" w:color="auto"/>
          </w:divBdr>
          <w:divsChild>
            <w:div w:id="21388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98477">
      <w:bodyDiv w:val="1"/>
      <w:marLeft w:val="0"/>
      <w:marRight w:val="0"/>
      <w:marTop w:val="0"/>
      <w:marBottom w:val="0"/>
      <w:divBdr>
        <w:top w:val="none" w:sz="0" w:space="0" w:color="auto"/>
        <w:left w:val="none" w:sz="0" w:space="0" w:color="auto"/>
        <w:bottom w:val="none" w:sz="0" w:space="0" w:color="auto"/>
        <w:right w:val="none" w:sz="0" w:space="0" w:color="auto"/>
      </w:divBdr>
      <w:divsChild>
        <w:div w:id="434441464">
          <w:marLeft w:val="0"/>
          <w:marRight w:val="0"/>
          <w:marTop w:val="0"/>
          <w:marBottom w:val="0"/>
          <w:divBdr>
            <w:top w:val="none" w:sz="0" w:space="0" w:color="auto"/>
            <w:left w:val="none" w:sz="0" w:space="0" w:color="auto"/>
            <w:bottom w:val="none" w:sz="0" w:space="0" w:color="auto"/>
            <w:right w:val="none" w:sz="0" w:space="0" w:color="auto"/>
          </w:divBdr>
          <w:divsChild>
            <w:div w:id="13505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3665">
      <w:bodyDiv w:val="1"/>
      <w:marLeft w:val="0"/>
      <w:marRight w:val="0"/>
      <w:marTop w:val="0"/>
      <w:marBottom w:val="0"/>
      <w:divBdr>
        <w:top w:val="none" w:sz="0" w:space="0" w:color="auto"/>
        <w:left w:val="none" w:sz="0" w:space="0" w:color="auto"/>
        <w:bottom w:val="none" w:sz="0" w:space="0" w:color="auto"/>
        <w:right w:val="none" w:sz="0" w:space="0" w:color="auto"/>
      </w:divBdr>
      <w:divsChild>
        <w:div w:id="1298533614">
          <w:marLeft w:val="0"/>
          <w:marRight w:val="0"/>
          <w:marTop w:val="0"/>
          <w:marBottom w:val="0"/>
          <w:divBdr>
            <w:top w:val="none" w:sz="0" w:space="0" w:color="auto"/>
            <w:left w:val="none" w:sz="0" w:space="0" w:color="auto"/>
            <w:bottom w:val="none" w:sz="0" w:space="0" w:color="auto"/>
            <w:right w:val="none" w:sz="0" w:space="0" w:color="auto"/>
          </w:divBdr>
          <w:divsChild>
            <w:div w:id="3763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3659">
      <w:bodyDiv w:val="1"/>
      <w:marLeft w:val="0"/>
      <w:marRight w:val="0"/>
      <w:marTop w:val="0"/>
      <w:marBottom w:val="0"/>
      <w:divBdr>
        <w:top w:val="none" w:sz="0" w:space="0" w:color="auto"/>
        <w:left w:val="none" w:sz="0" w:space="0" w:color="auto"/>
        <w:bottom w:val="none" w:sz="0" w:space="0" w:color="auto"/>
        <w:right w:val="none" w:sz="0" w:space="0" w:color="auto"/>
      </w:divBdr>
      <w:divsChild>
        <w:div w:id="867571120">
          <w:marLeft w:val="0"/>
          <w:marRight w:val="0"/>
          <w:marTop w:val="0"/>
          <w:marBottom w:val="0"/>
          <w:divBdr>
            <w:top w:val="none" w:sz="0" w:space="0" w:color="auto"/>
            <w:left w:val="none" w:sz="0" w:space="0" w:color="auto"/>
            <w:bottom w:val="none" w:sz="0" w:space="0" w:color="auto"/>
            <w:right w:val="none" w:sz="0" w:space="0" w:color="auto"/>
          </w:divBdr>
          <w:divsChild>
            <w:div w:id="8251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5610">
      <w:bodyDiv w:val="1"/>
      <w:marLeft w:val="0"/>
      <w:marRight w:val="0"/>
      <w:marTop w:val="0"/>
      <w:marBottom w:val="0"/>
      <w:divBdr>
        <w:top w:val="none" w:sz="0" w:space="0" w:color="auto"/>
        <w:left w:val="none" w:sz="0" w:space="0" w:color="auto"/>
        <w:bottom w:val="none" w:sz="0" w:space="0" w:color="auto"/>
        <w:right w:val="none" w:sz="0" w:space="0" w:color="auto"/>
      </w:divBdr>
      <w:divsChild>
        <w:div w:id="1949700808">
          <w:marLeft w:val="0"/>
          <w:marRight w:val="0"/>
          <w:marTop w:val="0"/>
          <w:marBottom w:val="0"/>
          <w:divBdr>
            <w:top w:val="none" w:sz="0" w:space="0" w:color="auto"/>
            <w:left w:val="none" w:sz="0" w:space="0" w:color="auto"/>
            <w:bottom w:val="none" w:sz="0" w:space="0" w:color="auto"/>
            <w:right w:val="none" w:sz="0" w:space="0" w:color="auto"/>
          </w:divBdr>
          <w:divsChild>
            <w:div w:id="1072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9285">
      <w:bodyDiv w:val="1"/>
      <w:marLeft w:val="0"/>
      <w:marRight w:val="0"/>
      <w:marTop w:val="0"/>
      <w:marBottom w:val="0"/>
      <w:divBdr>
        <w:top w:val="none" w:sz="0" w:space="0" w:color="auto"/>
        <w:left w:val="none" w:sz="0" w:space="0" w:color="auto"/>
        <w:bottom w:val="none" w:sz="0" w:space="0" w:color="auto"/>
        <w:right w:val="none" w:sz="0" w:space="0" w:color="auto"/>
      </w:divBdr>
      <w:divsChild>
        <w:div w:id="969162914">
          <w:marLeft w:val="0"/>
          <w:marRight w:val="0"/>
          <w:marTop w:val="0"/>
          <w:marBottom w:val="0"/>
          <w:divBdr>
            <w:top w:val="none" w:sz="0" w:space="0" w:color="auto"/>
            <w:left w:val="none" w:sz="0" w:space="0" w:color="auto"/>
            <w:bottom w:val="none" w:sz="0" w:space="0" w:color="auto"/>
            <w:right w:val="none" w:sz="0" w:space="0" w:color="auto"/>
          </w:divBdr>
          <w:divsChild>
            <w:div w:id="1693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2414">
      <w:bodyDiv w:val="1"/>
      <w:marLeft w:val="0"/>
      <w:marRight w:val="0"/>
      <w:marTop w:val="0"/>
      <w:marBottom w:val="0"/>
      <w:divBdr>
        <w:top w:val="none" w:sz="0" w:space="0" w:color="auto"/>
        <w:left w:val="none" w:sz="0" w:space="0" w:color="auto"/>
        <w:bottom w:val="none" w:sz="0" w:space="0" w:color="auto"/>
        <w:right w:val="none" w:sz="0" w:space="0" w:color="auto"/>
      </w:divBdr>
      <w:divsChild>
        <w:div w:id="1954286540">
          <w:marLeft w:val="0"/>
          <w:marRight w:val="0"/>
          <w:marTop w:val="0"/>
          <w:marBottom w:val="0"/>
          <w:divBdr>
            <w:top w:val="none" w:sz="0" w:space="0" w:color="auto"/>
            <w:left w:val="none" w:sz="0" w:space="0" w:color="auto"/>
            <w:bottom w:val="none" w:sz="0" w:space="0" w:color="auto"/>
            <w:right w:val="none" w:sz="0" w:space="0" w:color="auto"/>
          </w:divBdr>
          <w:divsChild>
            <w:div w:id="168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6704">
      <w:bodyDiv w:val="1"/>
      <w:marLeft w:val="0"/>
      <w:marRight w:val="0"/>
      <w:marTop w:val="0"/>
      <w:marBottom w:val="0"/>
      <w:divBdr>
        <w:top w:val="none" w:sz="0" w:space="0" w:color="auto"/>
        <w:left w:val="none" w:sz="0" w:space="0" w:color="auto"/>
        <w:bottom w:val="none" w:sz="0" w:space="0" w:color="auto"/>
        <w:right w:val="none" w:sz="0" w:space="0" w:color="auto"/>
      </w:divBdr>
      <w:divsChild>
        <w:div w:id="2029525091">
          <w:marLeft w:val="0"/>
          <w:marRight w:val="0"/>
          <w:marTop w:val="0"/>
          <w:marBottom w:val="0"/>
          <w:divBdr>
            <w:top w:val="none" w:sz="0" w:space="0" w:color="auto"/>
            <w:left w:val="none" w:sz="0" w:space="0" w:color="auto"/>
            <w:bottom w:val="none" w:sz="0" w:space="0" w:color="auto"/>
            <w:right w:val="none" w:sz="0" w:space="0" w:color="auto"/>
          </w:divBdr>
          <w:divsChild>
            <w:div w:id="1422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6699">
      <w:bodyDiv w:val="1"/>
      <w:marLeft w:val="0"/>
      <w:marRight w:val="0"/>
      <w:marTop w:val="0"/>
      <w:marBottom w:val="0"/>
      <w:divBdr>
        <w:top w:val="none" w:sz="0" w:space="0" w:color="auto"/>
        <w:left w:val="none" w:sz="0" w:space="0" w:color="auto"/>
        <w:bottom w:val="none" w:sz="0" w:space="0" w:color="auto"/>
        <w:right w:val="none" w:sz="0" w:space="0" w:color="auto"/>
      </w:divBdr>
      <w:divsChild>
        <w:div w:id="1830632863">
          <w:marLeft w:val="0"/>
          <w:marRight w:val="0"/>
          <w:marTop w:val="0"/>
          <w:marBottom w:val="0"/>
          <w:divBdr>
            <w:top w:val="none" w:sz="0" w:space="0" w:color="auto"/>
            <w:left w:val="none" w:sz="0" w:space="0" w:color="auto"/>
            <w:bottom w:val="none" w:sz="0" w:space="0" w:color="auto"/>
            <w:right w:val="none" w:sz="0" w:space="0" w:color="auto"/>
          </w:divBdr>
          <w:divsChild>
            <w:div w:id="1094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061">
      <w:bodyDiv w:val="1"/>
      <w:marLeft w:val="0"/>
      <w:marRight w:val="0"/>
      <w:marTop w:val="0"/>
      <w:marBottom w:val="0"/>
      <w:divBdr>
        <w:top w:val="none" w:sz="0" w:space="0" w:color="auto"/>
        <w:left w:val="none" w:sz="0" w:space="0" w:color="auto"/>
        <w:bottom w:val="none" w:sz="0" w:space="0" w:color="auto"/>
        <w:right w:val="none" w:sz="0" w:space="0" w:color="auto"/>
      </w:divBdr>
      <w:divsChild>
        <w:div w:id="2145923323">
          <w:marLeft w:val="0"/>
          <w:marRight w:val="0"/>
          <w:marTop w:val="0"/>
          <w:marBottom w:val="0"/>
          <w:divBdr>
            <w:top w:val="none" w:sz="0" w:space="0" w:color="auto"/>
            <w:left w:val="none" w:sz="0" w:space="0" w:color="auto"/>
            <w:bottom w:val="none" w:sz="0" w:space="0" w:color="auto"/>
            <w:right w:val="none" w:sz="0" w:space="0" w:color="auto"/>
          </w:divBdr>
          <w:divsChild>
            <w:div w:id="396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7896">
      <w:bodyDiv w:val="1"/>
      <w:marLeft w:val="0"/>
      <w:marRight w:val="0"/>
      <w:marTop w:val="0"/>
      <w:marBottom w:val="0"/>
      <w:divBdr>
        <w:top w:val="none" w:sz="0" w:space="0" w:color="auto"/>
        <w:left w:val="none" w:sz="0" w:space="0" w:color="auto"/>
        <w:bottom w:val="none" w:sz="0" w:space="0" w:color="auto"/>
        <w:right w:val="none" w:sz="0" w:space="0" w:color="auto"/>
      </w:divBdr>
      <w:divsChild>
        <w:div w:id="1687441925">
          <w:marLeft w:val="0"/>
          <w:marRight w:val="0"/>
          <w:marTop w:val="0"/>
          <w:marBottom w:val="0"/>
          <w:divBdr>
            <w:top w:val="none" w:sz="0" w:space="0" w:color="auto"/>
            <w:left w:val="none" w:sz="0" w:space="0" w:color="auto"/>
            <w:bottom w:val="none" w:sz="0" w:space="0" w:color="auto"/>
            <w:right w:val="none" w:sz="0" w:space="0" w:color="auto"/>
          </w:divBdr>
          <w:divsChild>
            <w:div w:id="5148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3933">
      <w:bodyDiv w:val="1"/>
      <w:marLeft w:val="0"/>
      <w:marRight w:val="0"/>
      <w:marTop w:val="0"/>
      <w:marBottom w:val="0"/>
      <w:divBdr>
        <w:top w:val="none" w:sz="0" w:space="0" w:color="auto"/>
        <w:left w:val="none" w:sz="0" w:space="0" w:color="auto"/>
        <w:bottom w:val="none" w:sz="0" w:space="0" w:color="auto"/>
        <w:right w:val="none" w:sz="0" w:space="0" w:color="auto"/>
      </w:divBdr>
      <w:divsChild>
        <w:div w:id="696976168">
          <w:marLeft w:val="0"/>
          <w:marRight w:val="0"/>
          <w:marTop w:val="0"/>
          <w:marBottom w:val="0"/>
          <w:divBdr>
            <w:top w:val="none" w:sz="0" w:space="0" w:color="auto"/>
            <w:left w:val="none" w:sz="0" w:space="0" w:color="auto"/>
            <w:bottom w:val="none" w:sz="0" w:space="0" w:color="auto"/>
            <w:right w:val="none" w:sz="0" w:space="0" w:color="auto"/>
          </w:divBdr>
          <w:divsChild>
            <w:div w:id="1131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072">
      <w:bodyDiv w:val="1"/>
      <w:marLeft w:val="0"/>
      <w:marRight w:val="0"/>
      <w:marTop w:val="0"/>
      <w:marBottom w:val="0"/>
      <w:divBdr>
        <w:top w:val="none" w:sz="0" w:space="0" w:color="auto"/>
        <w:left w:val="none" w:sz="0" w:space="0" w:color="auto"/>
        <w:bottom w:val="none" w:sz="0" w:space="0" w:color="auto"/>
        <w:right w:val="none" w:sz="0" w:space="0" w:color="auto"/>
      </w:divBdr>
      <w:divsChild>
        <w:div w:id="583953500">
          <w:marLeft w:val="0"/>
          <w:marRight w:val="0"/>
          <w:marTop w:val="0"/>
          <w:marBottom w:val="0"/>
          <w:divBdr>
            <w:top w:val="none" w:sz="0" w:space="0" w:color="auto"/>
            <w:left w:val="none" w:sz="0" w:space="0" w:color="auto"/>
            <w:bottom w:val="none" w:sz="0" w:space="0" w:color="auto"/>
            <w:right w:val="none" w:sz="0" w:space="0" w:color="auto"/>
          </w:divBdr>
          <w:divsChild>
            <w:div w:id="1104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2957">
      <w:bodyDiv w:val="1"/>
      <w:marLeft w:val="0"/>
      <w:marRight w:val="0"/>
      <w:marTop w:val="0"/>
      <w:marBottom w:val="0"/>
      <w:divBdr>
        <w:top w:val="none" w:sz="0" w:space="0" w:color="auto"/>
        <w:left w:val="none" w:sz="0" w:space="0" w:color="auto"/>
        <w:bottom w:val="none" w:sz="0" w:space="0" w:color="auto"/>
        <w:right w:val="none" w:sz="0" w:space="0" w:color="auto"/>
      </w:divBdr>
      <w:divsChild>
        <w:div w:id="711149871">
          <w:marLeft w:val="0"/>
          <w:marRight w:val="0"/>
          <w:marTop w:val="0"/>
          <w:marBottom w:val="0"/>
          <w:divBdr>
            <w:top w:val="none" w:sz="0" w:space="0" w:color="auto"/>
            <w:left w:val="none" w:sz="0" w:space="0" w:color="auto"/>
            <w:bottom w:val="none" w:sz="0" w:space="0" w:color="auto"/>
            <w:right w:val="none" w:sz="0" w:space="0" w:color="auto"/>
          </w:divBdr>
          <w:divsChild>
            <w:div w:id="112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0365">
      <w:bodyDiv w:val="1"/>
      <w:marLeft w:val="0"/>
      <w:marRight w:val="0"/>
      <w:marTop w:val="0"/>
      <w:marBottom w:val="0"/>
      <w:divBdr>
        <w:top w:val="none" w:sz="0" w:space="0" w:color="auto"/>
        <w:left w:val="none" w:sz="0" w:space="0" w:color="auto"/>
        <w:bottom w:val="none" w:sz="0" w:space="0" w:color="auto"/>
        <w:right w:val="none" w:sz="0" w:space="0" w:color="auto"/>
      </w:divBdr>
      <w:divsChild>
        <w:div w:id="1049458377">
          <w:marLeft w:val="0"/>
          <w:marRight w:val="0"/>
          <w:marTop w:val="0"/>
          <w:marBottom w:val="0"/>
          <w:divBdr>
            <w:top w:val="none" w:sz="0" w:space="0" w:color="auto"/>
            <w:left w:val="none" w:sz="0" w:space="0" w:color="auto"/>
            <w:bottom w:val="none" w:sz="0" w:space="0" w:color="auto"/>
            <w:right w:val="none" w:sz="0" w:space="0" w:color="auto"/>
          </w:divBdr>
          <w:divsChild>
            <w:div w:id="1674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5307">
      <w:bodyDiv w:val="1"/>
      <w:marLeft w:val="0"/>
      <w:marRight w:val="0"/>
      <w:marTop w:val="0"/>
      <w:marBottom w:val="0"/>
      <w:divBdr>
        <w:top w:val="none" w:sz="0" w:space="0" w:color="auto"/>
        <w:left w:val="none" w:sz="0" w:space="0" w:color="auto"/>
        <w:bottom w:val="none" w:sz="0" w:space="0" w:color="auto"/>
        <w:right w:val="none" w:sz="0" w:space="0" w:color="auto"/>
      </w:divBdr>
      <w:divsChild>
        <w:div w:id="862019415">
          <w:marLeft w:val="0"/>
          <w:marRight w:val="0"/>
          <w:marTop w:val="0"/>
          <w:marBottom w:val="0"/>
          <w:divBdr>
            <w:top w:val="none" w:sz="0" w:space="0" w:color="auto"/>
            <w:left w:val="none" w:sz="0" w:space="0" w:color="auto"/>
            <w:bottom w:val="none" w:sz="0" w:space="0" w:color="auto"/>
            <w:right w:val="none" w:sz="0" w:space="0" w:color="auto"/>
          </w:divBdr>
          <w:divsChild>
            <w:div w:id="6371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5078">
      <w:bodyDiv w:val="1"/>
      <w:marLeft w:val="0"/>
      <w:marRight w:val="0"/>
      <w:marTop w:val="0"/>
      <w:marBottom w:val="0"/>
      <w:divBdr>
        <w:top w:val="none" w:sz="0" w:space="0" w:color="auto"/>
        <w:left w:val="none" w:sz="0" w:space="0" w:color="auto"/>
        <w:bottom w:val="none" w:sz="0" w:space="0" w:color="auto"/>
        <w:right w:val="none" w:sz="0" w:space="0" w:color="auto"/>
      </w:divBdr>
      <w:divsChild>
        <w:div w:id="1051463269">
          <w:marLeft w:val="0"/>
          <w:marRight w:val="0"/>
          <w:marTop w:val="0"/>
          <w:marBottom w:val="0"/>
          <w:divBdr>
            <w:top w:val="none" w:sz="0" w:space="0" w:color="auto"/>
            <w:left w:val="none" w:sz="0" w:space="0" w:color="auto"/>
            <w:bottom w:val="none" w:sz="0" w:space="0" w:color="auto"/>
            <w:right w:val="none" w:sz="0" w:space="0" w:color="auto"/>
          </w:divBdr>
          <w:divsChild>
            <w:div w:id="16460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172">
      <w:bodyDiv w:val="1"/>
      <w:marLeft w:val="0"/>
      <w:marRight w:val="0"/>
      <w:marTop w:val="0"/>
      <w:marBottom w:val="0"/>
      <w:divBdr>
        <w:top w:val="none" w:sz="0" w:space="0" w:color="auto"/>
        <w:left w:val="none" w:sz="0" w:space="0" w:color="auto"/>
        <w:bottom w:val="none" w:sz="0" w:space="0" w:color="auto"/>
        <w:right w:val="none" w:sz="0" w:space="0" w:color="auto"/>
      </w:divBdr>
      <w:divsChild>
        <w:div w:id="1460613525">
          <w:marLeft w:val="0"/>
          <w:marRight w:val="0"/>
          <w:marTop w:val="0"/>
          <w:marBottom w:val="0"/>
          <w:divBdr>
            <w:top w:val="none" w:sz="0" w:space="0" w:color="auto"/>
            <w:left w:val="none" w:sz="0" w:space="0" w:color="auto"/>
            <w:bottom w:val="none" w:sz="0" w:space="0" w:color="auto"/>
            <w:right w:val="none" w:sz="0" w:space="0" w:color="auto"/>
          </w:divBdr>
          <w:divsChild>
            <w:div w:id="1990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2726">
      <w:bodyDiv w:val="1"/>
      <w:marLeft w:val="0"/>
      <w:marRight w:val="0"/>
      <w:marTop w:val="0"/>
      <w:marBottom w:val="0"/>
      <w:divBdr>
        <w:top w:val="none" w:sz="0" w:space="0" w:color="auto"/>
        <w:left w:val="none" w:sz="0" w:space="0" w:color="auto"/>
        <w:bottom w:val="none" w:sz="0" w:space="0" w:color="auto"/>
        <w:right w:val="none" w:sz="0" w:space="0" w:color="auto"/>
      </w:divBdr>
      <w:divsChild>
        <w:div w:id="1784110295">
          <w:marLeft w:val="0"/>
          <w:marRight w:val="0"/>
          <w:marTop w:val="0"/>
          <w:marBottom w:val="0"/>
          <w:divBdr>
            <w:top w:val="none" w:sz="0" w:space="0" w:color="auto"/>
            <w:left w:val="none" w:sz="0" w:space="0" w:color="auto"/>
            <w:bottom w:val="none" w:sz="0" w:space="0" w:color="auto"/>
            <w:right w:val="none" w:sz="0" w:space="0" w:color="auto"/>
          </w:divBdr>
          <w:divsChild>
            <w:div w:id="14933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097">
      <w:bodyDiv w:val="1"/>
      <w:marLeft w:val="0"/>
      <w:marRight w:val="0"/>
      <w:marTop w:val="0"/>
      <w:marBottom w:val="0"/>
      <w:divBdr>
        <w:top w:val="none" w:sz="0" w:space="0" w:color="auto"/>
        <w:left w:val="none" w:sz="0" w:space="0" w:color="auto"/>
        <w:bottom w:val="none" w:sz="0" w:space="0" w:color="auto"/>
        <w:right w:val="none" w:sz="0" w:space="0" w:color="auto"/>
      </w:divBdr>
      <w:divsChild>
        <w:div w:id="278142443">
          <w:marLeft w:val="0"/>
          <w:marRight w:val="0"/>
          <w:marTop w:val="0"/>
          <w:marBottom w:val="0"/>
          <w:divBdr>
            <w:top w:val="none" w:sz="0" w:space="0" w:color="auto"/>
            <w:left w:val="none" w:sz="0" w:space="0" w:color="auto"/>
            <w:bottom w:val="none" w:sz="0" w:space="0" w:color="auto"/>
            <w:right w:val="none" w:sz="0" w:space="0" w:color="auto"/>
          </w:divBdr>
          <w:divsChild>
            <w:div w:id="17914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7913">
      <w:bodyDiv w:val="1"/>
      <w:marLeft w:val="0"/>
      <w:marRight w:val="0"/>
      <w:marTop w:val="0"/>
      <w:marBottom w:val="0"/>
      <w:divBdr>
        <w:top w:val="none" w:sz="0" w:space="0" w:color="auto"/>
        <w:left w:val="none" w:sz="0" w:space="0" w:color="auto"/>
        <w:bottom w:val="none" w:sz="0" w:space="0" w:color="auto"/>
        <w:right w:val="none" w:sz="0" w:space="0" w:color="auto"/>
      </w:divBdr>
      <w:divsChild>
        <w:div w:id="1907452717">
          <w:marLeft w:val="0"/>
          <w:marRight w:val="0"/>
          <w:marTop w:val="0"/>
          <w:marBottom w:val="0"/>
          <w:divBdr>
            <w:top w:val="none" w:sz="0" w:space="0" w:color="auto"/>
            <w:left w:val="none" w:sz="0" w:space="0" w:color="auto"/>
            <w:bottom w:val="none" w:sz="0" w:space="0" w:color="auto"/>
            <w:right w:val="none" w:sz="0" w:space="0" w:color="auto"/>
          </w:divBdr>
          <w:divsChild>
            <w:div w:id="13343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4996">
      <w:bodyDiv w:val="1"/>
      <w:marLeft w:val="0"/>
      <w:marRight w:val="0"/>
      <w:marTop w:val="0"/>
      <w:marBottom w:val="0"/>
      <w:divBdr>
        <w:top w:val="none" w:sz="0" w:space="0" w:color="auto"/>
        <w:left w:val="none" w:sz="0" w:space="0" w:color="auto"/>
        <w:bottom w:val="none" w:sz="0" w:space="0" w:color="auto"/>
        <w:right w:val="none" w:sz="0" w:space="0" w:color="auto"/>
      </w:divBdr>
      <w:divsChild>
        <w:div w:id="919603102">
          <w:marLeft w:val="0"/>
          <w:marRight w:val="0"/>
          <w:marTop w:val="0"/>
          <w:marBottom w:val="0"/>
          <w:divBdr>
            <w:top w:val="none" w:sz="0" w:space="0" w:color="auto"/>
            <w:left w:val="none" w:sz="0" w:space="0" w:color="auto"/>
            <w:bottom w:val="none" w:sz="0" w:space="0" w:color="auto"/>
            <w:right w:val="none" w:sz="0" w:space="0" w:color="auto"/>
          </w:divBdr>
          <w:divsChild>
            <w:div w:id="5790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9143">
      <w:bodyDiv w:val="1"/>
      <w:marLeft w:val="0"/>
      <w:marRight w:val="0"/>
      <w:marTop w:val="0"/>
      <w:marBottom w:val="0"/>
      <w:divBdr>
        <w:top w:val="none" w:sz="0" w:space="0" w:color="auto"/>
        <w:left w:val="none" w:sz="0" w:space="0" w:color="auto"/>
        <w:bottom w:val="none" w:sz="0" w:space="0" w:color="auto"/>
        <w:right w:val="none" w:sz="0" w:space="0" w:color="auto"/>
      </w:divBdr>
      <w:divsChild>
        <w:div w:id="136849399">
          <w:marLeft w:val="0"/>
          <w:marRight w:val="0"/>
          <w:marTop w:val="0"/>
          <w:marBottom w:val="0"/>
          <w:divBdr>
            <w:top w:val="none" w:sz="0" w:space="0" w:color="auto"/>
            <w:left w:val="none" w:sz="0" w:space="0" w:color="auto"/>
            <w:bottom w:val="none" w:sz="0" w:space="0" w:color="auto"/>
            <w:right w:val="none" w:sz="0" w:space="0" w:color="auto"/>
          </w:divBdr>
          <w:divsChild>
            <w:div w:id="666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4011">
      <w:bodyDiv w:val="1"/>
      <w:marLeft w:val="0"/>
      <w:marRight w:val="0"/>
      <w:marTop w:val="0"/>
      <w:marBottom w:val="0"/>
      <w:divBdr>
        <w:top w:val="none" w:sz="0" w:space="0" w:color="auto"/>
        <w:left w:val="none" w:sz="0" w:space="0" w:color="auto"/>
        <w:bottom w:val="none" w:sz="0" w:space="0" w:color="auto"/>
        <w:right w:val="none" w:sz="0" w:space="0" w:color="auto"/>
      </w:divBdr>
      <w:divsChild>
        <w:div w:id="2120223446">
          <w:marLeft w:val="0"/>
          <w:marRight w:val="0"/>
          <w:marTop w:val="0"/>
          <w:marBottom w:val="0"/>
          <w:divBdr>
            <w:top w:val="none" w:sz="0" w:space="0" w:color="auto"/>
            <w:left w:val="none" w:sz="0" w:space="0" w:color="auto"/>
            <w:bottom w:val="none" w:sz="0" w:space="0" w:color="auto"/>
            <w:right w:val="none" w:sz="0" w:space="0" w:color="auto"/>
          </w:divBdr>
          <w:divsChild>
            <w:div w:id="15747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2345">
      <w:bodyDiv w:val="1"/>
      <w:marLeft w:val="0"/>
      <w:marRight w:val="0"/>
      <w:marTop w:val="0"/>
      <w:marBottom w:val="0"/>
      <w:divBdr>
        <w:top w:val="none" w:sz="0" w:space="0" w:color="auto"/>
        <w:left w:val="none" w:sz="0" w:space="0" w:color="auto"/>
        <w:bottom w:val="none" w:sz="0" w:space="0" w:color="auto"/>
        <w:right w:val="none" w:sz="0" w:space="0" w:color="auto"/>
      </w:divBdr>
      <w:divsChild>
        <w:div w:id="1519005638">
          <w:marLeft w:val="0"/>
          <w:marRight w:val="0"/>
          <w:marTop w:val="0"/>
          <w:marBottom w:val="0"/>
          <w:divBdr>
            <w:top w:val="none" w:sz="0" w:space="0" w:color="auto"/>
            <w:left w:val="none" w:sz="0" w:space="0" w:color="auto"/>
            <w:bottom w:val="none" w:sz="0" w:space="0" w:color="auto"/>
            <w:right w:val="none" w:sz="0" w:space="0" w:color="auto"/>
          </w:divBdr>
          <w:divsChild>
            <w:div w:id="1272594811">
              <w:marLeft w:val="0"/>
              <w:marRight w:val="0"/>
              <w:marTop w:val="0"/>
              <w:marBottom w:val="0"/>
              <w:divBdr>
                <w:top w:val="none" w:sz="0" w:space="0" w:color="auto"/>
                <w:left w:val="none" w:sz="0" w:space="0" w:color="auto"/>
                <w:bottom w:val="none" w:sz="0" w:space="0" w:color="auto"/>
                <w:right w:val="none" w:sz="0" w:space="0" w:color="auto"/>
              </w:divBdr>
            </w:div>
            <w:div w:id="1930498727">
              <w:marLeft w:val="0"/>
              <w:marRight w:val="0"/>
              <w:marTop w:val="0"/>
              <w:marBottom w:val="0"/>
              <w:divBdr>
                <w:top w:val="none" w:sz="0" w:space="0" w:color="auto"/>
                <w:left w:val="none" w:sz="0" w:space="0" w:color="auto"/>
                <w:bottom w:val="none" w:sz="0" w:space="0" w:color="auto"/>
                <w:right w:val="none" w:sz="0" w:space="0" w:color="auto"/>
              </w:divBdr>
              <w:divsChild>
                <w:div w:id="1098797471">
                  <w:marLeft w:val="0"/>
                  <w:marRight w:val="0"/>
                  <w:marTop w:val="0"/>
                  <w:marBottom w:val="0"/>
                  <w:divBdr>
                    <w:top w:val="none" w:sz="0" w:space="0" w:color="auto"/>
                    <w:left w:val="none" w:sz="0" w:space="0" w:color="auto"/>
                    <w:bottom w:val="none" w:sz="0" w:space="0" w:color="auto"/>
                    <w:right w:val="none" w:sz="0" w:space="0" w:color="auto"/>
                  </w:divBdr>
                  <w:divsChild>
                    <w:div w:id="3923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090">
      <w:bodyDiv w:val="1"/>
      <w:marLeft w:val="0"/>
      <w:marRight w:val="0"/>
      <w:marTop w:val="0"/>
      <w:marBottom w:val="0"/>
      <w:divBdr>
        <w:top w:val="none" w:sz="0" w:space="0" w:color="auto"/>
        <w:left w:val="none" w:sz="0" w:space="0" w:color="auto"/>
        <w:bottom w:val="none" w:sz="0" w:space="0" w:color="auto"/>
        <w:right w:val="none" w:sz="0" w:space="0" w:color="auto"/>
      </w:divBdr>
      <w:divsChild>
        <w:div w:id="1978686706">
          <w:marLeft w:val="0"/>
          <w:marRight w:val="0"/>
          <w:marTop w:val="0"/>
          <w:marBottom w:val="0"/>
          <w:divBdr>
            <w:top w:val="none" w:sz="0" w:space="0" w:color="auto"/>
            <w:left w:val="none" w:sz="0" w:space="0" w:color="auto"/>
            <w:bottom w:val="none" w:sz="0" w:space="0" w:color="auto"/>
            <w:right w:val="none" w:sz="0" w:space="0" w:color="auto"/>
          </w:divBdr>
          <w:divsChild>
            <w:div w:id="61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531">
      <w:bodyDiv w:val="1"/>
      <w:marLeft w:val="0"/>
      <w:marRight w:val="0"/>
      <w:marTop w:val="0"/>
      <w:marBottom w:val="0"/>
      <w:divBdr>
        <w:top w:val="none" w:sz="0" w:space="0" w:color="auto"/>
        <w:left w:val="none" w:sz="0" w:space="0" w:color="auto"/>
        <w:bottom w:val="none" w:sz="0" w:space="0" w:color="auto"/>
        <w:right w:val="none" w:sz="0" w:space="0" w:color="auto"/>
      </w:divBdr>
      <w:divsChild>
        <w:div w:id="1997877931">
          <w:marLeft w:val="0"/>
          <w:marRight w:val="0"/>
          <w:marTop w:val="0"/>
          <w:marBottom w:val="0"/>
          <w:divBdr>
            <w:top w:val="none" w:sz="0" w:space="0" w:color="auto"/>
            <w:left w:val="none" w:sz="0" w:space="0" w:color="auto"/>
            <w:bottom w:val="none" w:sz="0" w:space="0" w:color="auto"/>
            <w:right w:val="none" w:sz="0" w:space="0" w:color="auto"/>
          </w:divBdr>
          <w:divsChild>
            <w:div w:id="10270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7003">
      <w:bodyDiv w:val="1"/>
      <w:marLeft w:val="0"/>
      <w:marRight w:val="0"/>
      <w:marTop w:val="0"/>
      <w:marBottom w:val="0"/>
      <w:divBdr>
        <w:top w:val="none" w:sz="0" w:space="0" w:color="auto"/>
        <w:left w:val="none" w:sz="0" w:space="0" w:color="auto"/>
        <w:bottom w:val="none" w:sz="0" w:space="0" w:color="auto"/>
        <w:right w:val="none" w:sz="0" w:space="0" w:color="auto"/>
      </w:divBdr>
      <w:divsChild>
        <w:div w:id="1012728364">
          <w:marLeft w:val="0"/>
          <w:marRight w:val="0"/>
          <w:marTop w:val="0"/>
          <w:marBottom w:val="0"/>
          <w:divBdr>
            <w:top w:val="none" w:sz="0" w:space="0" w:color="auto"/>
            <w:left w:val="none" w:sz="0" w:space="0" w:color="auto"/>
            <w:bottom w:val="none" w:sz="0" w:space="0" w:color="auto"/>
            <w:right w:val="none" w:sz="0" w:space="0" w:color="auto"/>
          </w:divBdr>
          <w:divsChild>
            <w:div w:id="21111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3095">
      <w:bodyDiv w:val="1"/>
      <w:marLeft w:val="0"/>
      <w:marRight w:val="0"/>
      <w:marTop w:val="0"/>
      <w:marBottom w:val="0"/>
      <w:divBdr>
        <w:top w:val="none" w:sz="0" w:space="0" w:color="auto"/>
        <w:left w:val="none" w:sz="0" w:space="0" w:color="auto"/>
        <w:bottom w:val="none" w:sz="0" w:space="0" w:color="auto"/>
        <w:right w:val="none" w:sz="0" w:space="0" w:color="auto"/>
      </w:divBdr>
      <w:divsChild>
        <w:div w:id="1982810610">
          <w:marLeft w:val="0"/>
          <w:marRight w:val="0"/>
          <w:marTop w:val="0"/>
          <w:marBottom w:val="0"/>
          <w:divBdr>
            <w:top w:val="none" w:sz="0" w:space="0" w:color="auto"/>
            <w:left w:val="none" w:sz="0" w:space="0" w:color="auto"/>
            <w:bottom w:val="none" w:sz="0" w:space="0" w:color="auto"/>
            <w:right w:val="none" w:sz="0" w:space="0" w:color="auto"/>
          </w:divBdr>
          <w:divsChild>
            <w:div w:id="13894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3155">
      <w:bodyDiv w:val="1"/>
      <w:marLeft w:val="0"/>
      <w:marRight w:val="0"/>
      <w:marTop w:val="0"/>
      <w:marBottom w:val="0"/>
      <w:divBdr>
        <w:top w:val="none" w:sz="0" w:space="0" w:color="auto"/>
        <w:left w:val="none" w:sz="0" w:space="0" w:color="auto"/>
        <w:bottom w:val="none" w:sz="0" w:space="0" w:color="auto"/>
        <w:right w:val="none" w:sz="0" w:space="0" w:color="auto"/>
      </w:divBdr>
      <w:divsChild>
        <w:div w:id="238833012">
          <w:marLeft w:val="0"/>
          <w:marRight w:val="0"/>
          <w:marTop w:val="0"/>
          <w:marBottom w:val="0"/>
          <w:divBdr>
            <w:top w:val="none" w:sz="0" w:space="0" w:color="auto"/>
            <w:left w:val="none" w:sz="0" w:space="0" w:color="auto"/>
            <w:bottom w:val="none" w:sz="0" w:space="0" w:color="auto"/>
            <w:right w:val="none" w:sz="0" w:space="0" w:color="auto"/>
          </w:divBdr>
          <w:divsChild>
            <w:div w:id="338771430">
              <w:marLeft w:val="0"/>
              <w:marRight w:val="0"/>
              <w:marTop w:val="0"/>
              <w:marBottom w:val="0"/>
              <w:divBdr>
                <w:top w:val="none" w:sz="0" w:space="0" w:color="auto"/>
                <w:left w:val="none" w:sz="0" w:space="0" w:color="auto"/>
                <w:bottom w:val="none" w:sz="0" w:space="0" w:color="auto"/>
                <w:right w:val="none" w:sz="0" w:space="0" w:color="auto"/>
              </w:divBdr>
              <w:divsChild>
                <w:div w:id="1617171711">
                  <w:marLeft w:val="0"/>
                  <w:marRight w:val="0"/>
                  <w:marTop w:val="0"/>
                  <w:marBottom w:val="0"/>
                  <w:divBdr>
                    <w:top w:val="none" w:sz="0" w:space="0" w:color="auto"/>
                    <w:left w:val="none" w:sz="0" w:space="0" w:color="auto"/>
                    <w:bottom w:val="none" w:sz="0" w:space="0" w:color="auto"/>
                    <w:right w:val="none" w:sz="0" w:space="0" w:color="auto"/>
                  </w:divBdr>
                </w:div>
              </w:divsChild>
            </w:div>
            <w:div w:id="2067759091">
              <w:marLeft w:val="0"/>
              <w:marRight w:val="0"/>
              <w:marTop w:val="0"/>
              <w:marBottom w:val="0"/>
              <w:divBdr>
                <w:top w:val="none" w:sz="0" w:space="0" w:color="auto"/>
                <w:left w:val="none" w:sz="0" w:space="0" w:color="auto"/>
                <w:bottom w:val="none" w:sz="0" w:space="0" w:color="auto"/>
                <w:right w:val="none" w:sz="0" w:space="0" w:color="auto"/>
              </w:divBdr>
              <w:divsChild>
                <w:div w:id="985203041">
                  <w:marLeft w:val="0"/>
                  <w:marRight w:val="0"/>
                  <w:marTop w:val="0"/>
                  <w:marBottom w:val="0"/>
                  <w:divBdr>
                    <w:top w:val="none" w:sz="0" w:space="0" w:color="auto"/>
                    <w:left w:val="none" w:sz="0" w:space="0" w:color="auto"/>
                    <w:bottom w:val="none" w:sz="0" w:space="0" w:color="auto"/>
                    <w:right w:val="none" w:sz="0" w:space="0" w:color="auto"/>
                  </w:divBdr>
                </w:div>
              </w:divsChild>
            </w:div>
            <w:div w:id="527913388">
              <w:marLeft w:val="0"/>
              <w:marRight w:val="0"/>
              <w:marTop w:val="0"/>
              <w:marBottom w:val="0"/>
              <w:divBdr>
                <w:top w:val="none" w:sz="0" w:space="0" w:color="auto"/>
                <w:left w:val="none" w:sz="0" w:space="0" w:color="auto"/>
                <w:bottom w:val="none" w:sz="0" w:space="0" w:color="auto"/>
                <w:right w:val="none" w:sz="0" w:space="0" w:color="auto"/>
              </w:divBdr>
              <w:divsChild>
                <w:div w:id="1157696090">
                  <w:marLeft w:val="0"/>
                  <w:marRight w:val="0"/>
                  <w:marTop w:val="0"/>
                  <w:marBottom w:val="0"/>
                  <w:divBdr>
                    <w:top w:val="none" w:sz="0" w:space="0" w:color="auto"/>
                    <w:left w:val="none" w:sz="0" w:space="0" w:color="auto"/>
                    <w:bottom w:val="none" w:sz="0" w:space="0" w:color="auto"/>
                    <w:right w:val="none" w:sz="0" w:space="0" w:color="auto"/>
                  </w:divBdr>
                </w:div>
              </w:divsChild>
            </w:div>
            <w:div w:id="17146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0562">
      <w:bodyDiv w:val="1"/>
      <w:marLeft w:val="0"/>
      <w:marRight w:val="0"/>
      <w:marTop w:val="0"/>
      <w:marBottom w:val="0"/>
      <w:divBdr>
        <w:top w:val="none" w:sz="0" w:space="0" w:color="auto"/>
        <w:left w:val="none" w:sz="0" w:space="0" w:color="auto"/>
        <w:bottom w:val="none" w:sz="0" w:space="0" w:color="auto"/>
        <w:right w:val="none" w:sz="0" w:space="0" w:color="auto"/>
      </w:divBdr>
      <w:divsChild>
        <w:div w:id="962421329">
          <w:marLeft w:val="0"/>
          <w:marRight w:val="0"/>
          <w:marTop w:val="0"/>
          <w:marBottom w:val="0"/>
          <w:divBdr>
            <w:top w:val="none" w:sz="0" w:space="0" w:color="auto"/>
            <w:left w:val="none" w:sz="0" w:space="0" w:color="auto"/>
            <w:bottom w:val="none" w:sz="0" w:space="0" w:color="auto"/>
            <w:right w:val="none" w:sz="0" w:space="0" w:color="auto"/>
          </w:divBdr>
          <w:divsChild>
            <w:div w:id="20450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6869">
      <w:bodyDiv w:val="1"/>
      <w:marLeft w:val="0"/>
      <w:marRight w:val="0"/>
      <w:marTop w:val="0"/>
      <w:marBottom w:val="0"/>
      <w:divBdr>
        <w:top w:val="none" w:sz="0" w:space="0" w:color="auto"/>
        <w:left w:val="none" w:sz="0" w:space="0" w:color="auto"/>
        <w:bottom w:val="none" w:sz="0" w:space="0" w:color="auto"/>
        <w:right w:val="none" w:sz="0" w:space="0" w:color="auto"/>
      </w:divBdr>
      <w:divsChild>
        <w:div w:id="1176463020">
          <w:marLeft w:val="0"/>
          <w:marRight w:val="0"/>
          <w:marTop w:val="0"/>
          <w:marBottom w:val="0"/>
          <w:divBdr>
            <w:top w:val="none" w:sz="0" w:space="0" w:color="auto"/>
            <w:left w:val="none" w:sz="0" w:space="0" w:color="auto"/>
            <w:bottom w:val="none" w:sz="0" w:space="0" w:color="auto"/>
            <w:right w:val="none" w:sz="0" w:space="0" w:color="auto"/>
          </w:divBdr>
          <w:divsChild>
            <w:div w:id="19146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7539">
      <w:bodyDiv w:val="1"/>
      <w:marLeft w:val="0"/>
      <w:marRight w:val="0"/>
      <w:marTop w:val="0"/>
      <w:marBottom w:val="0"/>
      <w:divBdr>
        <w:top w:val="none" w:sz="0" w:space="0" w:color="auto"/>
        <w:left w:val="none" w:sz="0" w:space="0" w:color="auto"/>
        <w:bottom w:val="none" w:sz="0" w:space="0" w:color="auto"/>
        <w:right w:val="none" w:sz="0" w:space="0" w:color="auto"/>
      </w:divBdr>
      <w:divsChild>
        <w:div w:id="1908370245">
          <w:marLeft w:val="0"/>
          <w:marRight w:val="0"/>
          <w:marTop w:val="0"/>
          <w:marBottom w:val="0"/>
          <w:divBdr>
            <w:top w:val="none" w:sz="0" w:space="0" w:color="auto"/>
            <w:left w:val="none" w:sz="0" w:space="0" w:color="auto"/>
            <w:bottom w:val="none" w:sz="0" w:space="0" w:color="auto"/>
            <w:right w:val="none" w:sz="0" w:space="0" w:color="auto"/>
          </w:divBdr>
          <w:divsChild>
            <w:div w:id="20139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6736">
      <w:bodyDiv w:val="1"/>
      <w:marLeft w:val="0"/>
      <w:marRight w:val="0"/>
      <w:marTop w:val="0"/>
      <w:marBottom w:val="0"/>
      <w:divBdr>
        <w:top w:val="none" w:sz="0" w:space="0" w:color="auto"/>
        <w:left w:val="none" w:sz="0" w:space="0" w:color="auto"/>
        <w:bottom w:val="none" w:sz="0" w:space="0" w:color="auto"/>
        <w:right w:val="none" w:sz="0" w:space="0" w:color="auto"/>
      </w:divBdr>
      <w:divsChild>
        <w:div w:id="1017272953">
          <w:marLeft w:val="0"/>
          <w:marRight w:val="0"/>
          <w:marTop w:val="0"/>
          <w:marBottom w:val="0"/>
          <w:divBdr>
            <w:top w:val="none" w:sz="0" w:space="0" w:color="auto"/>
            <w:left w:val="none" w:sz="0" w:space="0" w:color="auto"/>
            <w:bottom w:val="none" w:sz="0" w:space="0" w:color="auto"/>
            <w:right w:val="none" w:sz="0" w:space="0" w:color="auto"/>
          </w:divBdr>
          <w:divsChild>
            <w:div w:id="16817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5288">
      <w:bodyDiv w:val="1"/>
      <w:marLeft w:val="0"/>
      <w:marRight w:val="0"/>
      <w:marTop w:val="0"/>
      <w:marBottom w:val="0"/>
      <w:divBdr>
        <w:top w:val="none" w:sz="0" w:space="0" w:color="auto"/>
        <w:left w:val="none" w:sz="0" w:space="0" w:color="auto"/>
        <w:bottom w:val="none" w:sz="0" w:space="0" w:color="auto"/>
        <w:right w:val="none" w:sz="0" w:space="0" w:color="auto"/>
      </w:divBdr>
      <w:divsChild>
        <w:div w:id="160512260">
          <w:marLeft w:val="0"/>
          <w:marRight w:val="0"/>
          <w:marTop w:val="0"/>
          <w:marBottom w:val="0"/>
          <w:divBdr>
            <w:top w:val="none" w:sz="0" w:space="0" w:color="auto"/>
            <w:left w:val="none" w:sz="0" w:space="0" w:color="auto"/>
            <w:bottom w:val="none" w:sz="0" w:space="0" w:color="auto"/>
            <w:right w:val="none" w:sz="0" w:space="0" w:color="auto"/>
          </w:divBdr>
          <w:divsChild>
            <w:div w:id="16872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8526">
      <w:bodyDiv w:val="1"/>
      <w:marLeft w:val="0"/>
      <w:marRight w:val="0"/>
      <w:marTop w:val="0"/>
      <w:marBottom w:val="0"/>
      <w:divBdr>
        <w:top w:val="none" w:sz="0" w:space="0" w:color="auto"/>
        <w:left w:val="none" w:sz="0" w:space="0" w:color="auto"/>
        <w:bottom w:val="none" w:sz="0" w:space="0" w:color="auto"/>
        <w:right w:val="none" w:sz="0" w:space="0" w:color="auto"/>
      </w:divBdr>
      <w:divsChild>
        <w:div w:id="479808710">
          <w:marLeft w:val="0"/>
          <w:marRight w:val="0"/>
          <w:marTop w:val="0"/>
          <w:marBottom w:val="0"/>
          <w:divBdr>
            <w:top w:val="none" w:sz="0" w:space="0" w:color="auto"/>
            <w:left w:val="none" w:sz="0" w:space="0" w:color="auto"/>
            <w:bottom w:val="none" w:sz="0" w:space="0" w:color="auto"/>
            <w:right w:val="none" w:sz="0" w:space="0" w:color="auto"/>
          </w:divBdr>
          <w:divsChild>
            <w:div w:id="1170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4643">
      <w:bodyDiv w:val="1"/>
      <w:marLeft w:val="0"/>
      <w:marRight w:val="0"/>
      <w:marTop w:val="0"/>
      <w:marBottom w:val="0"/>
      <w:divBdr>
        <w:top w:val="none" w:sz="0" w:space="0" w:color="auto"/>
        <w:left w:val="none" w:sz="0" w:space="0" w:color="auto"/>
        <w:bottom w:val="none" w:sz="0" w:space="0" w:color="auto"/>
        <w:right w:val="none" w:sz="0" w:space="0" w:color="auto"/>
      </w:divBdr>
      <w:divsChild>
        <w:div w:id="479269669">
          <w:marLeft w:val="0"/>
          <w:marRight w:val="0"/>
          <w:marTop w:val="0"/>
          <w:marBottom w:val="0"/>
          <w:divBdr>
            <w:top w:val="none" w:sz="0" w:space="0" w:color="auto"/>
            <w:left w:val="none" w:sz="0" w:space="0" w:color="auto"/>
            <w:bottom w:val="none" w:sz="0" w:space="0" w:color="auto"/>
            <w:right w:val="none" w:sz="0" w:space="0" w:color="auto"/>
          </w:divBdr>
          <w:divsChild>
            <w:div w:id="426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7802">
      <w:bodyDiv w:val="1"/>
      <w:marLeft w:val="0"/>
      <w:marRight w:val="0"/>
      <w:marTop w:val="0"/>
      <w:marBottom w:val="0"/>
      <w:divBdr>
        <w:top w:val="none" w:sz="0" w:space="0" w:color="auto"/>
        <w:left w:val="none" w:sz="0" w:space="0" w:color="auto"/>
        <w:bottom w:val="none" w:sz="0" w:space="0" w:color="auto"/>
        <w:right w:val="none" w:sz="0" w:space="0" w:color="auto"/>
      </w:divBdr>
      <w:divsChild>
        <w:div w:id="724643149">
          <w:marLeft w:val="0"/>
          <w:marRight w:val="0"/>
          <w:marTop w:val="0"/>
          <w:marBottom w:val="0"/>
          <w:divBdr>
            <w:top w:val="none" w:sz="0" w:space="0" w:color="auto"/>
            <w:left w:val="none" w:sz="0" w:space="0" w:color="auto"/>
            <w:bottom w:val="none" w:sz="0" w:space="0" w:color="auto"/>
            <w:right w:val="none" w:sz="0" w:space="0" w:color="auto"/>
          </w:divBdr>
          <w:divsChild>
            <w:div w:id="15886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8615">
      <w:bodyDiv w:val="1"/>
      <w:marLeft w:val="0"/>
      <w:marRight w:val="0"/>
      <w:marTop w:val="0"/>
      <w:marBottom w:val="0"/>
      <w:divBdr>
        <w:top w:val="none" w:sz="0" w:space="0" w:color="auto"/>
        <w:left w:val="none" w:sz="0" w:space="0" w:color="auto"/>
        <w:bottom w:val="none" w:sz="0" w:space="0" w:color="auto"/>
        <w:right w:val="none" w:sz="0" w:space="0" w:color="auto"/>
      </w:divBdr>
      <w:divsChild>
        <w:div w:id="1901478189">
          <w:marLeft w:val="0"/>
          <w:marRight w:val="0"/>
          <w:marTop w:val="0"/>
          <w:marBottom w:val="0"/>
          <w:divBdr>
            <w:top w:val="none" w:sz="0" w:space="0" w:color="auto"/>
            <w:left w:val="none" w:sz="0" w:space="0" w:color="auto"/>
            <w:bottom w:val="none" w:sz="0" w:space="0" w:color="auto"/>
            <w:right w:val="none" w:sz="0" w:space="0" w:color="auto"/>
          </w:divBdr>
          <w:divsChild>
            <w:div w:id="21396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506">
      <w:bodyDiv w:val="1"/>
      <w:marLeft w:val="0"/>
      <w:marRight w:val="0"/>
      <w:marTop w:val="0"/>
      <w:marBottom w:val="0"/>
      <w:divBdr>
        <w:top w:val="none" w:sz="0" w:space="0" w:color="auto"/>
        <w:left w:val="none" w:sz="0" w:space="0" w:color="auto"/>
        <w:bottom w:val="none" w:sz="0" w:space="0" w:color="auto"/>
        <w:right w:val="none" w:sz="0" w:space="0" w:color="auto"/>
      </w:divBdr>
      <w:divsChild>
        <w:div w:id="157352243">
          <w:marLeft w:val="0"/>
          <w:marRight w:val="0"/>
          <w:marTop w:val="0"/>
          <w:marBottom w:val="0"/>
          <w:divBdr>
            <w:top w:val="none" w:sz="0" w:space="0" w:color="auto"/>
            <w:left w:val="none" w:sz="0" w:space="0" w:color="auto"/>
            <w:bottom w:val="none" w:sz="0" w:space="0" w:color="auto"/>
            <w:right w:val="none" w:sz="0" w:space="0" w:color="auto"/>
          </w:divBdr>
          <w:divsChild>
            <w:div w:id="8450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C7E4-0035-4380-B431-9CFED12A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Farrar</dc:creator>
  <cp:lastModifiedBy>Eric Farrar</cp:lastModifiedBy>
  <cp:revision>4</cp:revision>
  <dcterms:created xsi:type="dcterms:W3CDTF">2017-01-09T20:26:00Z</dcterms:created>
  <dcterms:modified xsi:type="dcterms:W3CDTF">2017-01-11T17:33:00Z</dcterms:modified>
</cp:coreProperties>
</file>